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impacts_et_enjeux_sociétaux_de_l_535aea"/>
      <w:r>
        <w:rPr>
          <w:rFonts w:eastAsia="source serif 4" w:cs="source serif 4" w:ascii="source serif 4" w:hAnsi="source serif 4"/>
          <w:b/>
          <w:color w:val="000000"/>
          <w:sz w:val="39"/>
        </w:rPr>
        <w:t xml:space="preserve">Impacts et enjeux sociétaux de l’IA pour les structures associatives et d’animation jeunesse</w:t>
      </w:r>
      <w:bookmarkEnd w:id="0"/>
    </w:p>
    <w:p>
      <w:pPr>
        <w:spacing w:line="360" w:before="315" w:after="105" w:lineRule="auto"/>
        <w:ind w:left="-30"/>
        <w:jc w:val="left"/>
      </w:pPr>
      <w:bookmarkStart w:id="1" w:name="bm_1_introduction_pourquoi_former_2fb0e2"/>
      <w:r>
        <w:rPr>
          <w:rFonts w:eastAsia="source serif 4" w:cs="source serif 4" w:ascii="source serif 4" w:hAnsi="source serif 4"/>
          <w:b/>
          <w:color w:val="000000"/>
          <w:sz w:val="24"/>
        </w:rPr>
        <w:t xml:space="preserve">1. Introduction : pourquoi former les acteurs associatifs à l’IA ?</w:t>
      </w:r>
      <w:bookmarkEnd w:id="1"/>
    </w:p>
    <w:p>
      <w:pPr>
        <w:spacing w:line="360" w:after="210" w:lineRule="auto"/>
      </w:pPr>
      <w:r>
        <w:rPr>
          <w:rFonts w:eastAsia="source serif 4" w:cs="source serif 4" w:ascii="source serif 4" w:hAnsi="source serif 4"/>
          <w:color w:val="000000"/>
        </w:rPr>
        <w:t xml:space="preserve">La diffusion rapide de l’intelligence artificielle (IA) touche désormais tous les pans de la vie sociale : services publics, plateformes numériques, outils bureautiques, réseaux sociaux, applications de communication, recherche d’emploi, santé, éducation, culture. Les structures associatives, les acteurs de l’éducation populaire et de l’animation jeunesse utilisent déjà – souvent sans toujours le mesurer – des services intégrant de l’IA : suites collaboratives en ligne, outils de traduction automatique, assistants rédactionnels, modération de contenus, systèmes d’inscription ou de gestion de publics hébergés dans le cloud.[</w:t>
      </w:r>
      <w:r>
        <w:rPr>
          <w:rFonts w:eastAsia="source serif 4" w:cs="source serif 4" w:ascii="source serif 4" w:hAnsi="source serif 4"/>
          <w:color w:val="000000"/>
          <w:vertAlign w:val="superscript"/>
        </w:rPr>
        <w:t xml:space="preserve">1][</w:t>
      </w:r>
      <w:r>
        <w:rPr>
          <w:rFonts w:eastAsia="source serif 4" w:cs="source serif 4" w:ascii="source serif 4" w:hAnsi="source serif 4"/>
          <w:color w:val="000000"/>
        </w:rPr>
        <w:t xml:space="preserve">2][</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4]</w:t>
      </w:r>
    </w:p>
    <w:p>
      <w:pPr>
        <w:spacing w:line="360" w:after="210" w:lineRule="auto"/>
      </w:pPr>
      <w:r>
        <w:rPr>
          <w:rFonts w:eastAsia="source serif 4" w:cs="source serif 4" w:ascii="source serif 4" w:hAnsi="source serif 4"/>
          <w:color w:val="000000"/>
        </w:rPr>
        <w:t xml:space="preserve">Dans ce contexte, il devient indispensable que ces structures soient en capacité de :</w:t>
      </w:r>
    </w:p>
    <w:p>
      <w:pPr>
        <w:numPr>
          <w:ilvl w:val="0"/>
          <w:numId w:val="1"/>
        </w:numPr>
        <w:spacing w:line="360" w:before="105" w:after="105" w:lineRule="auto"/>
      </w:pPr>
      <w:r>
        <w:rPr>
          <w:rFonts w:eastAsia="source serif 4" w:cs="source serif 4" w:ascii="source serif 4" w:hAnsi="source serif 4"/>
          <w:color w:val="000000"/>
          <w:sz w:val="21"/>
        </w:rPr>
        <w:t xml:space="preserve">Comprendre leurs </w:t>
      </w:r>
      <w:r>
        <w:rPr>
          <w:rFonts w:eastAsia="source serif 4" w:cs="source serif 4" w:ascii="source serif 4" w:hAnsi="source serif 4"/>
          <w:b/>
          <w:color w:val="000000"/>
          <w:sz w:val="21"/>
        </w:rPr>
        <w:t xml:space="preserve">obligations juridiques</w:t>
      </w:r>
      <w:r>
        <w:rPr>
          <w:rFonts w:eastAsia="source serif 4" w:cs="source serif 4" w:ascii="source serif 4" w:hAnsi="source serif 4"/>
          <w:color w:val="000000"/>
          <w:sz w:val="21"/>
        </w:rPr>
        <w:t xml:space="preserve"> au regard du RGPD et du règlement européen sur l’IA (AI Act) lorsqu’elles déploient ou utilisent des systèmes d’IA.</w:t>
      </w:r>
    </w:p>
    <w:p>
      <w:pPr>
        <w:numPr>
          <w:ilvl w:val="0"/>
          <w:numId w:val="1"/>
        </w:numPr>
        <w:spacing w:line="360" w:before="105" w:after="105" w:lineRule="auto"/>
      </w:pPr>
      <w:r>
        <w:rPr>
          <w:rFonts w:eastAsia="source serif 4" w:cs="source serif 4" w:ascii="source serif 4" w:hAnsi="source serif 4"/>
          <w:color w:val="000000"/>
          <w:sz w:val="21"/>
        </w:rPr>
        <w:t xml:space="preserve">Appréhender les </w:t>
      </w:r>
      <w:r>
        <w:rPr>
          <w:rFonts w:eastAsia="source serif 4" w:cs="source serif 4" w:ascii="source serif 4" w:hAnsi="source serif 4"/>
          <w:b/>
          <w:color w:val="000000"/>
          <w:sz w:val="21"/>
        </w:rPr>
        <w:t xml:space="preserve">impacts environnementaux</w:t>
      </w:r>
      <w:r>
        <w:rPr>
          <w:rFonts w:eastAsia="source serif 4" w:cs="source serif 4" w:ascii="source serif 4" w:hAnsi="source serif 4"/>
          <w:color w:val="000000"/>
          <w:sz w:val="21"/>
        </w:rPr>
        <w:t xml:space="preserve"> de l’IA générative et identifier des leviers concrets de sobriété numérique.</w:t>
      </w:r>
    </w:p>
    <w:p>
      <w:pPr>
        <w:numPr>
          <w:ilvl w:val="0"/>
          <w:numId w:val="1"/>
        </w:numPr>
        <w:spacing w:line="360" w:before="105" w:after="105" w:lineRule="auto"/>
      </w:pPr>
      <w:r>
        <w:rPr>
          <w:rFonts w:eastAsia="source serif 4" w:cs="source serif 4" w:ascii="source serif 4" w:hAnsi="source serif 4"/>
          <w:color w:val="000000"/>
          <w:sz w:val="21"/>
        </w:rPr>
        <w:t xml:space="preserve">Situer leurs choix d’outils dans les débats sur la </w:t>
      </w:r>
      <w:r>
        <w:rPr>
          <w:rFonts w:eastAsia="source serif 4" w:cs="source serif 4" w:ascii="source serif 4" w:hAnsi="source serif 4"/>
          <w:b/>
          <w:color w:val="000000"/>
          <w:sz w:val="21"/>
        </w:rPr>
        <w:t xml:space="preserve">souveraineté des données</w:t>
      </w:r>
      <w:r>
        <w:rPr>
          <w:rFonts w:eastAsia="source serif 4" w:cs="source serif 4" w:ascii="source serif 4" w:hAnsi="source serif 4"/>
          <w:color w:val="000000"/>
          <w:sz w:val="21"/>
        </w:rPr>
        <w:t xml:space="preserve">, la dépendance au cloud et les rapports de force géopolitiques.</w:t>
      </w:r>
    </w:p>
    <w:p>
      <w:pPr>
        <w:numPr>
          <w:ilvl w:val="0"/>
          <w:numId w:val="1"/>
        </w:numPr>
        <w:spacing w:line="360" w:before="105" w:after="105" w:lineRule="auto"/>
      </w:pPr>
      <w:r>
        <w:rPr>
          <w:rFonts w:eastAsia="source serif 4" w:cs="source serif 4" w:ascii="source serif 4" w:hAnsi="source serif 4"/>
          <w:color w:val="000000"/>
          <w:sz w:val="21"/>
        </w:rPr>
        <w:t xml:space="preserve">Anticiper les </w:t>
      </w:r>
      <w:r>
        <w:rPr>
          <w:rFonts w:eastAsia="source serif 4" w:cs="source serif 4" w:ascii="source serif 4" w:hAnsi="source serif 4"/>
          <w:b/>
          <w:color w:val="000000"/>
          <w:sz w:val="21"/>
        </w:rPr>
        <w:t xml:space="preserve">risques de désinformation et de concentration économique</w:t>
      </w:r>
      <w:r>
        <w:rPr>
          <w:rFonts w:eastAsia="source serif 4" w:cs="source serif 4" w:ascii="source serif 4" w:hAnsi="source serif 4"/>
          <w:color w:val="000000"/>
          <w:sz w:val="21"/>
        </w:rPr>
        <w:t xml:space="preserve"> de l’IA pour la qualité du débat citoyen et la participation des jeunes.</w:t>
      </w:r>
    </w:p>
    <w:p>
      <w:pPr>
        <w:spacing w:line="360" w:after="210" w:lineRule="auto"/>
      </w:pPr>
      <w:r>
        <w:rPr>
          <w:rFonts w:eastAsia="source serif 4" w:cs="source serif 4" w:ascii="source serif 4" w:hAnsi="source serif 4"/>
          <w:color w:val="000000"/>
        </w:rPr>
        <w:t xml:space="preserve">Ce rapport vise à fournir un socle de contenu pour une formation destinée à des responsables associatifs, animateurs jeunesse, informateurs jeunesse et médiateurs numériques.</w:t>
      </w:r>
    </w:p>
    <w:p>
      <w:pPr>
        <w:spacing w:line="360" w:before="315" w:after="105" w:lineRule="auto"/>
        <w:ind w:left="-30"/>
        <w:jc w:val="left"/>
      </w:pPr>
      <w:bookmarkStart w:id="2" w:name="bm_2_obligations_rgpd_et_ai_act_p_e2a8e3"/>
      <w:r>
        <w:rPr>
          <w:rFonts w:eastAsia="source serif 4" w:cs="source serif 4" w:ascii="source serif 4" w:hAnsi="source serif 4"/>
          <w:b/>
          <w:color w:val="000000"/>
          <w:sz w:val="24"/>
        </w:rPr>
        <w:t xml:space="preserve">2. Obligations RGPD et AI Act pour une structure associative utilisant l’IA</w:t>
      </w:r>
      <w:bookmarkEnd w:id="2"/>
    </w:p>
    <w:p>
      <w:pPr>
        <w:spacing w:line="360" w:before="315" w:after="105" w:lineRule="auto"/>
        <w:ind w:left="-30"/>
        <w:jc w:val="left"/>
      </w:pPr>
      <w:bookmarkStart w:id="3" w:name="bm_2_1_rappel_des_obligations_rgp_9623ab"/>
      <w:r>
        <w:rPr>
          <w:rFonts w:eastAsia="source serif 4" w:cs="source serif 4" w:ascii="source serif 4" w:hAnsi="source serif 4"/>
          <w:b/>
          <w:color w:val="000000"/>
          <w:sz w:val="24"/>
        </w:rPr>
        <w:t xml:space="preserve">2.1. Rappel des obligations RGPD pour les associations</w:t>
      </w:r>
      <w:bookmarkEnd w:id="3"/>
    </w:p>
    <w:p>
      <w:pPr>
        <w:spacing w:line="360" w:after="210" w:lineRule="auto"/>
      </w:pPr>
      <w:r>
        <w:rPr>
          <w:rFonts w:eastAsia="source serif 4" w:cs="source serif 4" w:ascii="source serif 4" w:hAnsi="source serif 4"/>
          <w:color w:val="000000"/>
        </w:rPr>
        <w:t xml:space="preserve">Le Règlement général sur la protection des données (RGPD) s’applique à toute organisation – y compris les associations – qui traite des données à caractère personnel, quel que soit le support (fichiers Excel, CRM, outils en ligne, plateformes d’inscription, etc.). La CNIL rappelle que le RGPD abandonne la logique des déclarations préalables pour privilégier une logique de responsabilisation : les associations n’ont plus à déclarer leurs fichiers, mais doivent être en mesure de démontrer à tout moment leur conformité.[</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1]</w:t>
      </w:r>
    </w:p>
    <w:p>
      <w:pPr>
        <w:spacing w:line="360" w:after="210" w:lineRule="auto"/>
      </w:pPr>
      <w:r>
        <w:rPr>
          <w:rFonts w:eastAsia="source serif 4" w:cs="source serif 4" w:ascii="source serif 4" w:hAnsi="source serif 4"/>
          <w:color w:val="000000"/>
        </w:rPr>
        <w:t xml:space="preserve">Les principaux principes RGPD applicables aux usages d’IA sont :</w:t>
      </w:r>
    </w:p>
    <w:p>
      <w:pPr>
        <w:numPr>
          <w:ilvl w:val="0"/>
          <w:numId w:val="2"/>
        </w:numPr>
        <w:spacing w:line="360" w:before="105" w:after="105" w:lineRule="auto"/>
      </w:pPr>
      <w:r>
        <w:rPr>
          <w:rFonts w:eastAsia="source serif 4" w:cs="source serif 4" w:ascii="source serif 4" w:hAnsi="source serif 4"/>
          <w:b/>
          <w:color w:val="000000"/>
          <w:sz w:val="21"/>
        </w:rPr>
        <w:t xml:space="preserve">Licéité, loyauté, transparence</w:t>
      </w:r>
      <w:r>
        <w:rPr>
          <w:rFonts w:eastAsia="source serif 4" w:cs="source serif 4" w:ascii="source serif 4" w:hAnsi="source serif 4"/>
          <w:color w:val="000000"/>
          <w:sz w:val="21"/>
        </w:rPr>
        <w:t xml:space="preserve"> : informer clairement les personnes de l’usage de leurs données, des finalités poursuivies et des éventuels traitements par IA.[</w:t>
      </w:r>
      <w:r>
        <w:rPr>
          <w:rFonts w:eastAsia="source serif 4" w:cs="source serif 4" w:ascii="source serif 4" w:hAnsi="source serif 4"/>
          <w:color w:val="000000"/>
          <w:sz w:val="21"/>
          <w:vertAlign w:val="superscript"/>
        </w:rPr>
        <w:t xml:space="preserve">5][</w:t>
      </w:r>
      <w:r>
        <w:rPr>
          <w:rFonts w:eastAsia="source serif 4" w:cs="source serif 4" w:ascii="source serif 4" w:hAnsi="source serif 4"/>
          <w:color w:val="000000"/>
          <w:sz w:val="21"/>
        </w:rPr>
        <w:t xml:space="preserve">3]</w:t>
      </w:r>
    </w:p>
    <w:p>
      <w:pPr>
        <w:numPr>
          <w:ilvl w:val="0"/>
          <w:numId w:val="2"/>
        </w:numPr>
        <w:spacing w:line="360" w:before="105" w:after="105" w:lineRule="auto"/>
      </w:pPr>
      <w:r>
        <w:rPr>
          <w:rFonts w:eastAsia="source serif 4" w:cs="source serif 4" w:ascii="source serif 4" w:hAnsi="source serif 4"/>
          <w:b/>
          <w:color w:val="000000"/>
          <w:sz w:val="21"/>
        </w:rPr>
        <w:t xml:space="preserve">Minimisation des données</w:t>
      </w:r>
      <w:r>
        <w:rPr>
          <w:rFonts w:eastAsia="source serif 4" w:cs="source serif 4" w:ascii="source serif 4" w:hAnsi="source serif 4"/>
          <w:color w:val="000000"/>
          <w:sz w:val="21"/>
        </w:rPr>
        <w:t xml:space="preserve"> : ne collecter que les données strictement nécessaires, éviter d’aspirer massivement des données « au cas où » pour alimenter des modèles.[^1]</w:t>
      </w:r>
    </w:p>
    <w:p>
      <w:pPr>
        <w:numPr>
          <w:ilvl w:val="0"/>
          <w:numId w:val="2"/>
        </w:numPr>
        <w:spacing w:line="360" w:before="105" w:after="105" w:lineRule="auto"/>
      </w:pPr>
      <w:r>
        <w:rPr>
          <w:rFonts w:eastAsia="source serif 4" w:cs="source serif 4" w:ascii="source serif 4" w:hAnsi="source serif 4"/>
          <w:b/>
          <w:color w:val="000000"/>
          <w:sz w:val="21"/>
        </w:rPr>
        <w:t xml:space="preserve">Limitation de la durée de conservation</w:t>
      </w:r>
      <w:r>
        <w:rPr>
          <w:rFonts w:eastAsia="source serif 4" w:cs="source serif 4" w:ascii="source serif 4" w:hAnsi="source serif 4"/>
          <w:color w:val="000000"/>
          <w:sz w:val="21"/>
        </w:rPr>
        <w:t xml:space="preserve"> : définir des durées raisonnables et les respecter, y compris dans les systèmes d’IA (logs, historiques de conversations, etc.).[</w:t>
      </w:r>
      <w:r>
        <w:rPr>
          <w:rFonts w:eastAsia="source serif 4" w:cs="source serif 4" w:ascii="source serif 4" w:hAnsi="source serif 4"/>
          <w:color w:val="000000"/>
          <w:sz w:val="21"/>
          <w:vertAlign w:val="superscript"/>
        </w:rPr>
        <w:t xml:space="preserve">5][</w:t>
      </w:r>
      <w:r>
        <w:rPr>
          <w:rFonts w:eastAsia="source serif 4" w:cs="source serif 4" w:ascii="source serif 4" w:hAnsi="source serif 4"/>
          <w:color w:val="000000"/>
          <w:sz w:val="21"/>
        </w:rPr>
        <w:t xml:space="preserve">1]</w:t>
      </w:r>
    </w:p>
    <w:p>
      <w:pPr>
        <w:numPr>
          <w:ilvl w:val="0"/>
          <w:numId w:val="2"/>
        </w:numPr>
        <w:spacing w:line="360" w:before="105" w:after="105" w:lineRule="auto"/>
      </w:pPr>
      <w:r>
        <w:rPr>
          <w:rFonts w:eastAsia="source serif 4" w:cs="source serif 4" w:ascii="source serif 4" w:hAnsi="source serif 4"/>
          <w:b/>
          <w:color w:val="000000"/>
          <w:sz w:val="21"/>
        </w:rPr>
        <w:t xml:space="preserve">Sécurité</w:t>
      </w:r>
      <w:r>
        <w:rPr>
          <w:rFonts w:eastAsia="source serif 4" w:cs="source serif 4" w:ascii="source serif 4" w:hAnsi="source serif 4"/>
          <w:color w:val="000000"/>
          <w:sz w:val="21"/>
        </w:rPr>
        <w:t xml:space="preserve"> : mettre en place des mesures techniques et organisationnelles pour protéger les données (chiffrement, contrôle d’accès, journalisation, etc.).[</w:t>
      </w:r>
      <w:r>
        <w:rPr>
          <w:rFonts w:eastAsia="source serif 4" w:cs="source serif 4" w:ascii="source serif 4" w:hAnsi="source serif 4"/>
          <w:color w:val="000000"/>
          <w:sz w:val="21"/>
          <w:vertAlign w:val="superscript"/>
        </w:rPr>
        <w:t xml:space="preserve">3][</w:t>
      </w:r>
      <w:r>
        <w:rPr>
          <w:rFonts w:eastAsia="source serif 4" w:cs="source serif 4" w:ascii="source serif 4" w:hAnsi="source serif 4"/>
          <w:color w:val="000000"/>
          <w:sz w:val="21"/>
        </w:rPr>
        <w:t xml:space="preserve">5]</w:t>
      </w:r>
    </w:p>
    <w:p>
      <w:pPr>
        <w:numPr>
          <w:ilvl w:val="0"/>
          <w:numId w:val="2"/>
        </w:numPr>
        <w:spacing w:line="360" w:before="105" w:after="105" w:lineRule="auto"/>
      </w:pPr>
      <w:r>
        <w:rPr>
          <w:rFonts w:eastAsia="source serif 4" w:cs="source serif 4" w:ascii="source serif 4" w:hAnsi="source serif 4"/>
          <w:b/>
          <w:color w:val="000000"/>
          <w:sz w:val="21"/>
        </w:rPr>
        <w:t xml:space="preserve">Droits des personnes</w:t>
      </w:r>
      <w:r>
        <w:rPr>
          <w:rFonts w:eastAsia="source serif 4" w:cs="source serif 4" w:ascii="source serif 4" w:hAnsi="source serif 4"/>
          <w:color w:val="000000"/>
          <w:sz w:val="21"/>
        </w:rPr>
        <w:t xml:space="preserve"> : garantir l’accès, la rectification, l’effacement, l’opposition et, le cas échéant, la portabilité des données.[^1]</w:t>
      </w:r>
    </w:p>
    <w:p>
      <w:pPr>
        <w:spacing w:line="360" w:after="210" w:lineRule="auto"/>
      </w:pPr>
      <w:r>
        <w:rPr>
          <w:rFonts w:eastAsia="source serif 4" w:cs="source serif 4" w:ascii="source serif 4" w:hAnsi="source serif 4"/>
          <w:color w:val="000000"/>
        </w:rPr>
        <w:t xml:space="preserve">Lorsqu’une association entraîne un modèle d’IA sur des données personnelles (par exemple un chatbot à partir de l’historique de questions de jeunes usagers), l’avis du Comité européen de la protection des données (CEPD) rappelle que le RGPD s’applique pleinement : la structure doit identifier une base légale, informer les personnes et, si nécessaire, réaliser une analyse d’impact (AIPD).[</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5]</w:t>
      </w:r>
    </w:p>
    <w:p>
      <w:pPr>
        <w:spacing w:line="360" w:before="315" w:after="105" w:lineRule="auto"/>
        <w:ind w:left="-30"/>
        <w:jc w:val="left"/>
      </w:pPr>
      <w:bookmarkStart w:id="4" w:name="bm_2_2_ai_act_qui_est_concerné_da_afcc67"/>
      <w:r>
        <w:rPr>
          <w:rFonts w:eastAsia="source serif 4" w:cs="source serif 4" w:ascii="source serif 4" w:hAnsi="source serif 4"/>
          <w:b/>
          <w:color w:val="000000"/>
          <w:sz w:val="24"/>
        </w:rPr>
        <w:t xml:space="preserve">2.2. AI Act : qui est concerné dans le monde associatif ?</w:t>
      </w:r>
      <w:bookmarkEnd w:id="4"/>
    </w:p>
    <w:p>
      <w:pPr>
        <w:spacing w:line="360" w:after="210" w:lineRule="auto"/>
      </w:pPr>
      <w:r>
        <w:rPr>
          <w:rFonts w:eastAsia="source serif 4" w:cs="source serif 4" w:ascii="source serif 4" w:hAnsi="source serif 4"/>
          <w:color w:val="000000"/>
        </w:rPr>
        <w:t xml:space="preserve">Le règlement européen sur l’IA (AI Act, règlement UE 2024/1689) est entré en vigueur en août 2024 et s’applique progressivement à partir de 2025‑2027. Il crée un cadre harmonisé pour le développement, la mise sur le marché et l’utilisation des systèmes d’IA dans l’UE, selon une approche fondée sur le niveau de risque.[</w:t>
      </w:r>
      <w:r>
        <w:rPr>
          <w:rFonts w:eastAsia="source serif 4" w:cs="source serif 4" w:ascii="source serif 4" w:hAnsi="source serif 4"/>
          <w:color w:val="000000"/>
          <w:vertAlign w:val="superscript"/>
        </w:rPr>
        <w:t xml:space="preserve">2][</w:t>
      </w:r>
      <w:r>
        <w:rPr>
          <w:rFonts w:eastAsia="source serif 4" w:cs="source serif 4" w:ascii="source serif 4" w:hAnsi="source serif 4"/>
          <w:color w:val="000000"/>
        </w:rPr>
        <w:t xml:space="preserve">4]</w:t>
      </w:r>
    </w:p>
    <w:p>
      <w:pPr>
        <w:spacing w:line="360" w:after="210" w:lineRule="auto"/>
      </w:pPr>
      <w:r>
        <w:rPr>
          <w:rFonts w:eastAsia="source serif 4" w:cs="source serif 4" w:ascii="source serif 4" w:hAnsi="source serif 4"/>
          <w:color w:val="000000"/>
        </w:rPr>
        <w:t xml:space="preserve">Sont concernés :</w:t>
      </w:r>
    </w:p>
    <w:p>
      <w:pPr>
        <w:numPr>
          <w:ilvl w:val="0"/>
          <w:numId w:val="3"/>
        </w:numPr>
        <w:spacing w:line="360" w:before="105" w:after="105" w:lineRule="auto"/>
      </w:pPr>
      <w:r>
        <w:rPr>
          <w:rFonts w:eastAsia="source serif 4" w:cs="source serif 4" w:ascii="source serif 4" w:hAnsi="source serif 4"/>
          <w:color w:val="000000"/>
          <w:sz w:val="21"/>
        </w:rPr>
        <w:t xml:space="preserve">Les </w:t>
      </w:r>
      <w:r>
        <w:rPr>
          <w:rFonts w:eastAsia="source serif 4" w:cs="source serif 4" w:ascii="source serif 4" w:hAnsi="source serif 4"/>
          <w:b/>
          <w:color w:val="000000"/>
          <w:sz w:val="21"/>
        </w:rPr>
        <w:t xml:space="preserve">fournisseurs</w:t>
      </w:r>
      <w:r>
        <w:rPr>
          <w:rFonts w:eastAsia="source serif 4" w:cs="source serif 4" w:ascii="source serif 4" w:hAnsi="source serif 4"/>
          <w:color w:val="000000"/>
          <w:sz w:val="21"/>
        </w:rPr>
        <w:t xml:space="preserve"> de systèmes d’IA (organisations qui développent un système et le mettent sur le marché ou le mettent à disposition).</w:t>
      </w:r>
    </w:p>
    <w:p>
      <w:pPr>
        <w:numPr>
          <w:ilvl w:val="0"/>
          <w:numId w:val="3"/>
        </w:numPr>
        <w:spacing w:line="360" w:before="105" w:after="105" w:lineRule="auto"/>
      </w:pPr>
      <w:r>
        <w:rPr>
          <w:rFonts w:eastAsia="source serif 4" w:cs="source serif 4" w:ascii="source serif 4" w:hAnsi="source serif 4"/>
          <w:color w:val="000000"/>
          <w:sz w:val="21"/>
        </w:rPr>
        <w:t xml:space="preserve">Les </w:t>
      </w:r>
      <w:r>
        <w:rPr>
          <w:rFonts w:eastAsia="source serif 4" w:cs="source serif 4" w:ascii="source serif 4" w:hAnsi="source serif 4"/>
          <w:b/>
          <w:color w:val="000000"/>
          <w:sz w:val="21"/>
        </w:rPr>
        <w:t xml:space="preserve">déployeurs</w:t>
      </w:r>
      <w:r>
        <w:rPr>
          <w:rFonts w:eastAsia="source serif 4" w:cs="source serif 4" w:ascii="source serif 4" w:hAnsi="source serif 4"/>
          <w:color w:val="000000"/>
          <w:sz w:val="21"/>
        </w:rPr>
        <w:t xml:space="preserve"> (organisations qui utilisent ou intègrent un système d’IA dans leurs activités), y compris des associations.[</w:t>
      </w:r>
      <w:r>
        <w:rPr>
          <w:rFonts w:eastAsia="source serif 4" w:cs="source serif 4" w:ascii="source serif 4" w:hAnsi="source serif 4"/>
          <w:color w:val="000000"/>
          <w:sz w:val="21"/>
          <w:vertAlign w:val="superscript"/>
        </w:rPr>
        <w:t xml:space="preserve">6][</w:t>
      </w:r>
      <w:r>
        <w:rPr>
          <w:rFonts w:eastAsia="source serif 4" w:cs="source serif 4" w:ascii="source serif 4" w:hAnsi="source serif 4"/>
          <w:color w:val="000000"/>
          <w:sz w:val="21"/>
        </w:rPr>
        <w:t xml:space="preserve">2]</w:t>
      </w:r>
    </w:p>
    <w:p>
      <w:pPr>
        <w:spacing w:line="360" w:after="210" w:lineRule="auto"/>
      </w:pPr>
      <w:r>
        <w:rPr>
          <w:rFonts w:eastAsia="source serif 4" w:cs="source serif 4" w:ascii="source serif 4" w:hAnsi="source serif 4"/>
          <w:color w:val="000000"/>
        </w:rPr>
        <w:t xml:space="preserve">Une structure associative sera typiquement « déployeur » lorsqu’elle utilise :</w:t>
      </w:r>
    </w:p>
    <w:p>
      <w:pPr>
        <w:numPr>
          <w:ilvl w:val="0"/>
          <w:numId w:val="4"/>
        </w:numPr>
        <w:spacing w:line="360" w:before="105" w:after="105" w:lineRule="auto"/>
      </w:pPr>
      <w:r>
        <w:rPr>
          <w:rFonts w:eastAsia="source serif 4" w:cs="source serif 4" w:ascii="source serif 4" w:hAnsi="source serif 4"/>
          <w:color w:val="000000"/>
          <w:sz w:val="21"/>
        </w:rPr>
        <w:t xml:space="preserve">un chatbot d’accueil pour répondre aux questions des usagers,</w:t>
      </w:r>
    </w:p>
    <w:p>
      <w:pPr>
        <w:numPr>
          <w:ilvl w:val="0"/>
          <w:numId w:val="4"/>
        </w:numPr>
        <w:spacing w:line="360" w:before="105" w:after="105" w:lineRule="auto"/>
      </w:pPr>
      <w:r>
        <w:rPr>
          <w:rFonts w:eastAsia="source serif 4" w:cs="source serif 4" w:ascii="source serif 4" w:hAnsi="source serif 4"/>
          <w:color w:val="000000"/>
          <w:sz w:val="21"/>
        </w:rPr>
        <w:t xml:space="preserve">un système d’aide à l’orientation ou au diagnostic social intégrant une IA,</w:t>
      </w:r>
    </w:p>
    <w:p>
      <w:pPr>
        <w:numPr>
          <w:ilvl w:val="0"/>
          <w:numId w:val="4"/>
        </w:numPr>
        <w:spacing w:line="360" w:before="105" w:after="105" w:lineRule="auto"/>
      </w:pPr>
      <w:r>
        <w:rPr>
          <w:rFonts w:eastAsia="source serif 4" w:cs="source serif 4" w:ascii="source serif 4" w:hAnsi="source serif 4"/>
          <w:color w:val="000000"/>
          <w:sz w:val="21"/>
        </w:rPr>
        <w:t xml:space="preserve">un outil de tri ou de scoring automatisé pour l’accès à des services, des aides ou des activités.</w:t>
      </w:r>
    </w:p>
    <w:p>
      <w:pPr>
        <w:spacing w:line="360" w:before="315" w:after="105" w:lineRule="auto"/>
        <w:ind w:left="-30"/>
        <w:jc w:val="left"/>
      </w:pPr>
      <w:bookmarkStart w:id="5" w:name="bm_2_3_typologie_des_risques_et_o_9f45c1"/>
      <w:r>
        <w:rPr>
          <w:rFonts w:eastAsia="source serif 4" w:cs="source serif 4" w:ascii="source serif 4" w:hAnsi="source serif 4"/>
          <w:b/>
          <w:color w:val="000000"/>
          <w:sz w:val="24"/>
        </w:rPr>
        <w:t xml:space="preserve">2.3. Typologie des risques et obligations de transparence</w:t>
      </w:r>
      <w:bookmarkEnd w:id="5"/>
    </w:p>
    <w:p>
      <w:pPr>
        <w:spacing w:line="360" w:after="210" w:lineRule="auto"/>
      </w:pPr>
      <w:r>
        <w:rPr>
          <w:rFonts w:eastAsia="source serif 4" w:cs="source serif 4" w:ascii="source serif 4" w:hAnsi="source serif 4"/>
          <w:color w:val="000000"/>
        </w:rPr>
        <w:t xml:space="preserve">L’AI Act distingue plusieurs niveaux de risque :[</w:t>
      </w:r>
      <w:r>
        <w:rPr>
          <w:rFonts w:eastAsia="source serif 4" w:cs="source serif 4" w:ascii="source serif 4" w:hAnsi="source serif 4"/>
          <w:color w:val="000000"/>
          <w:vertAlign w:val="superscript"/>
        </w:rPr>
        <w:t xml:space="preserve">4][</w:t>
      </w:r>
      <w:r>
        <w:rPr>
          <w:rFonts w:eastAsia="source serif 4" w:cs="source serif 4" w:ascii="source serif 4" w:hAnsi="source serif 4"/>
          <w:color w:val="000000"/>
        </w:rPr>
        <w:t xml:space="preserve">2]</w:t>
      </w:r>
    </w:p>
    <w:p>
      <w:pPr>
        <w:numPr>
          <w:ilvl w:val="0"/>
          <w:numId w:val="5"/>
        </w:numPr>
        <w:spacing w:line="360" w:before="105" w:after="105" w:lineRule="auto"/>
      </w:pPr>
      <w:r>
        <w:rPr>
          <w:rFonts w:eastAsia="source serif 4" w:cs="source serif 4" w:ascii="source serif 4" w:hAnsi="source serif 4"/>
          <w:b/>
          <w:color w:val="000000"/>
          <w:sz w:val="21"/>
        </w:rPr>
        <w:t xml:space="preserve">Risque minime</w:t>
      </w:r>
      <w:r>
        <w:rPr>
          <w:rFonts w:eastAsia="source serif 4" w:cs="source serif 4" w:ascii="source serif 4" w:hAnsi="source serif 4"/>
          <w:color w:val="000000"/>
          <w:sz w:val="21"/>
        </w:rPr>
        <w:t xml:space="preserve"> : filtres anti‑spam, IA dans les jeux vidéo, etc. – pas d’obligations spécifiques.</w:t>
      </w:r>
    </w:p>
    <w:p>
      <w:pPr>
        <w:numPr>
          <w:ilvl w:val="0"/>
          <w:numId w:val="5"/>
        </w:numPr>
        <w:spacing w:line="360" w:before="105" w:after="105" w:lineRule="auto"/>
      </w:pPr>
      <w:r>
        <w:rPr>
          <w:rFonts w:eastAsia="source serif 4" w:cs="source serif 4" w:ascii="source serif 4" w:hAnsi="source serif 4"/>
          <w:b/>
          <w:color w:val="000000"/>
          <w:sz w:val="21"/>
        </w:rPr>
        <w:t xml:space="preserve">Risque spécifique en matière de transparence</w:t>
      </w:r>
      <w:r>
        <w:rPr>
          <w:rFonts w:eastAsia="source serif 4" w:cs="source serif 4" w:ascii="source serif 4" w:hAnsi="source serif 4"/>
          <w:color w:val="000000"/>
          <w:sz w:val="21"/>
        </w:rPr>
        <w:t xml:space="preserve"> : chatbots et systèmes qui génèrent des contenus audio, image, vidéo ou texte, soumis à des obligations d’information des utilisateurs.</w:t>
      </w:r>
    </w:p>
    <w:p>
      <w:pPr>
        <w:numPr>
          <w:ilvl w:val="0"/>
          <w:numId w:val="5"/>
        </w:numPr>
        <w:spacing w:line="360" w:before="105" w:after="105" w:lineRule="auto"/>
      </w:pPr>
      <w:r>
        <w:rPr>
          <w:rFonts w:eastAsia="source serif 4" w:cs="source serif 4" w:ascii="source serif 4" w:hAnsi="source serif 4"/>
          <w:b/>
          <w:color w:val="000000"/>
          <w:sz w:val="21"/>
        </w:rPr>
        <w:t xml:space="preserve">Risque élevé</w:t>
      </w:r>
      <w:r>
        <w:rPr>
          <w:rFonts w:eastAsia="source serif 4" w:cs="source serif 4" w:ascii="source serif 4" w:hAnsi="source serif 4"/>
          <w:color w:val="000000"/>
          <w:sz w:val="21"/>
        </w:rPr>
        <w:t xml:space="preserve"> : systèmes impactant fortement les droits fondamentaux (recrutement, crédit, éducation, santé, justice, etc.) – obligations renforcées (gestion des risques, qualité des données, documentation, contrôle humain).</w:t>
      </w:r>
    </w:p>
    <w:p>
      <w:pPr>
        <w:numPr>
          <w:ilvl w:val="0"/>
          <w:numId w:val="5"/>
        </w:numPr>
        <w:spacing w:line="360" w:before="105" w:after="105" w:lineRule="auto"/>
      </w:pPr>
      <w:r>
        <w:rPr>
          <w:rFonts w:eastAsia="source serif 4" w:cs="source serif 4" w:ascii="source serif 4" w:hAnsi="source serif 4"/>
          <w:b/>
          <w:color w:val="000000"/>
          <w:sz w:val="21"/>
        </w:rPr>
        <w:t xml:space="preserve">Risque inacceptable</w:t>
      </w:r>
      <w:r>
        <w:rPr>
          <w:rFonts w:eastAsia="source serif 4" w:cs="source serif 4" w:ascii="source serif 4" w:hAnsi="source serif 4"/>
          <w:color w:val="000000"/>
          <w:sz w:val="21"/>
        </w:rPr>
        <w:t xml:space="preserve"> : notations sociales, manipulations comportementales ciblant des vulnérabilités, certains usages de la biométrie – interdits.[^2]</w:t>
      </w:r>
    </w:p>
    <w:p>
      <w:pPr>
        <w:spacing w:line="360" w:after="210" w:lineRule="auto"/>
      </w:pPr>
      <w:r>
        <w:rPr>
          <w:rFonts w:eastAsia="source serif 4" w:cs="source serif 4" w:ascii="source serif 4" w:hAnsi="source serif 4"/>
          <w:color w:val="000000"/>
        </w:rPr>
        <w:t xml:space="preserve">Pour la plupart des associations d’animation ou d’Information Jeunesse, les obligations concernent surtout les systèmes de </w:t>
      </w:r>
      <w:r>
        <w:rPr>
          <w:rFonts w:eastAsia="source serif 4" w:cs="source serif 4" w:ascii="source serif 4" w:hAnsi="source serif 4"/>
          <w:b/>
          <w:color w:val="000000"/>
        </w:rPr>
        <w:t xml:space="preserve">transparence</w:t>
      </w:r>
      <w:r>
        <w:rPr>
          <w:rFonts w:eastAsia="source serif 4" w:cs="source serif 4" w:ascii="source serif 4" w:hAnsi="source serif 4"/>
          <w:color w:val="000000"/>
        </w:rPr>
        <w:t xml:space="preserve"> et, dans certains cas, des systèmes potentiellement à risque élevé si l’IA est utilisée pour des décisions ayant un impact significatif (sélection dans un dispositif, évaluation automatisée, etc.).[</w:t>
      </w:r>
      <w:r>
        <w:rPr>
          <w:rFonts w:eastAsia="source serif 4" w:cs="source serif 4" w:ascii="source serif 4" w:hAnsi="source serif 4"/>
          <w:color w:val="000000"/>
          <w:vertAlign w:val="superscript"/>
        </w:rPr>
        <w:t xml:space="preserve">7][</w:t>
      </w:r>
      <w:r>
        <w:rPr>
          <w:rFonts w:eastAsia="source serif 4" w:cs="source serif 4" w:ascii="source serif 4" w:hAnsi="source serif 4"/>
          <w:color w:val="000000"/>
        </w:rPr>
        <w:t xml:space="preserve">4]</w:t>
      </w:r>
    </w:p>
    <w:p>
      <w:pPr>
        <w:spacing w:line="360" w:after="210" w:lineRule="auto"/>
      </w:pPr>
      <w:r>
        <w:rPr>
          <w:rFonts w:eastAsia="source serif 4" w:cs="source serif 4" w:ascii="source serif 4" w:hAnsi="source serif 4"/>
          <w:color w:val="000000"/>
        </w:rPr>
        <w:t xml:space="preserve">L’article 50 de l’AI Act détaille les obligations de transparence :</w:t>
      </w:r>
    </w:p>
    <w:p>
      <w:pPr>
        <w:numPr>
          <w:ilvl w:val="0"/>
          <w:numId w:val="6"/>
        </w:numPr>
        <w:spacing w:line="360" w:before="105" w:after="105" w:lineRule="auto"/>
      </w:pPr>
      <w:r>
        <w:rPr>
          <w:rFonts w:eastAsia="source serif 4" w:cs="source serif 4" w:ascii="source serif 4" w:hAnsi="source serif 4"/>
          <w:color w:val="000000"/>
          <w:sz w:val="21"/>
        </w:rPr>
        <w:t xml:space="preserve">Informer les personnes lorsqu’elles interagissent avec un système d’IA (chatbot), sauf si cela est évident pour un utilisateur raisonnablement informé.[^8]</w:t>
      </w:r>
    </w:p>
    <w:p>
      <w:pPr>
        <w:numPr>
          <w:ilvl w:val="0"/>
          <w:numId w:val="6"/>
        </w:numPr>
        <w:spacing w:line="360" w:before="105" w:after="105" w:lineRule="auto"/>
      </w:pPr>
      <w:r>
        <w:rPr>
          <w:rFonts w:eastAsia="source serif 4" w:cs="source serif 4" w:ascii="source serif 4" w:hAnsi="source serif 4"/>
          <w:color w:val="000000"/>
          <w:sz w:val="21"/>
        </w:rPr>
        <w:t xml:space="preserve">Marquer les contenus audio, image, vidéo ou texte générés ou manipulés afin qu’ils soient détectables comme artificiels (par exemple via un filigrane lisible par machine).[^8]</w:t>
      </w:r>
    </w:p>
    <w:p>
      <w:pPr>
        <w:numPr>
          <w:ilvl w:val="0"/>
          <w:numId w:val="6"/>
        </w:numPr>
        <w:spacing w:line="360" w:before="105" w:after="105" w:lineRule="auto"/>
      </w:pPr>
      <w:r>
        <w:rPr>
          <w:rFonts w:eastAsia="source serif 4" w:cs="source serif 4" w:ascii="source serif 4" w:hAnsi="source serif 4"/>
          <w:color w:val="000000"/>
          <w:sz w:val="21"/>
        </w:rPr>
        <w:t xml:space="preserve">Indiquer que des textes générés par IA et publiés pour informer le public sur des questions d’intérêt général ont été générés ou manipulés par IA, sauf si un contrôle éditorial humain assumé est exercé.[^8]</w:t>
      </w:r>
    </w:p>
    <w:p>
      <w:pPr>
        <w:spacing w:line="360" w:before="315" w:after="105" w:lineRule="auto"/>
        <w:ind w:left="-30"/>
        <w:jc w:val="left"/>
      </w:pPr>
      <w:bookmarkStart w:id="6" w:name="bm_2_4_concrètement_que_doit_fair_ae452f"/>
      <w:r>
        <w:rPr>
          <w:rFonts w:eastAsia="source serif 4" w:cs="source serif 4" w:ascii="source serif 4" w:hAnsi="source serif 4"/>
          <w:b/>
          <w:color w:val="000000"/>
          <w:sz w:val="24"/>
        </w:rPr>
        <w:t xml:space="preserve">2.4. Concrètement, que doit faire une association ?</w:t>
      </w:r>
      <w:bookmarkEnd w:id="6"/>
    </w:p>
    <w:p>
      <w:pPr>
        <w:spacing w:line="360" w:after="210" w:lineRule="auto"/>
      </w:pPr>
      <w:r>
        <w:rPr>
          <w:rFonts w:eastAsia="source serif 4" w:cs="source serif 4" w:ascii="source serif 4" w:hAnsi="source serif 4"/>
          <w:color w:val="000000"/>
        </w:rPr>
        <w:t xml:space="preserve">Pour une structure associative qui utilise l’IA (ou envisage de le faire), quelques axes de conformité à intégrer dans une formation :</w:t>
      </w:r>
    </w:p>
    <w:p>
      <w:pPr>
        <w:numPr>
          <w:ilvl w:val="0"/>
          <w:numId w:val="7"/>
        </w:numPr>
        <w:spacing w:line="360" w:before="105" w:after="105" w:lineRule="auto"/>
      </w:pPr>
      <w:r>
        <w:rPr>
          <w:rFonts w:eastAsia="source serif 4" w:cs="source serif 4" w:ascii="source serif 4" w:hAnsi="source serif 4"/>
          <w:b/>
          <w:color w:val="000000"/>
          <w:sz w:val="21"/>
        </w:rPr>
        <w:t xml:space="preserve">Cartographier les usages</w:t>
      </w:r>
      <w:r>
        <w:rPr>
          <w:rFonts w:eastAsia="source serif 4" w:cs="source serif 4" w:ascii="source serif 4" w:hAnsi="source serif 4"/>
          <w:color w:val="000000"/>
          <w:sz w:val="21"/>
        </w:rPr>
        <w:t xml:space="preserve"> : identifier les outils qui intègrent de l’IA (chatbots, assistants, modules d’analyse) et les données traitées (données d’usagers, de bénévoles, de salariés).[</w:t>
      </w:r>
      <w:r>
        <w:rPr>
          <w:rFonts w:eastAsia="source serif 4" w:cs="source serif 4" w:ascii="source serif 4" w:hAnsi="source serif 4"/>
          <w:color w:val="000000"/>
          <w:sz w:val="21"/>
          <w:vertAlign w:val="superscript"/>
        </w:rPr>
        <w:t xml:space="preserve">9][</w:t>
      </w:r>
      <w:r>
        <w:rPr>
          <w:rFonts w:eastAsia="source serif 4" w:cs="source serif 4" w:ascii="source serif 4" w:hAnsi="source serif 4"/>
          <w:color w:val="000000"/>
          <w:sz w:val="21"/>
        </w:rPr>
        <w:t xml:space="preserve">3]</w:t>
      </w:r>
    </w:p>
    <w:p>
      <w:pPr>
        <w:numPr>
          <w:ilvl w:val="0"/>
          <w:numId w:val="7"/>
        </w:numPr>
        <w:spacing w:line="360" w:before="105" w:after="105" w:lineRule="auto"/>
      </w:pPr>
      <w:r>
        <w:rPr>
          <w:rFonts w:eastAsia="source serif 4" w:cs="source serif 4" w:ascii="source serif 4" w:hAnsi="source serif 4"/>
          <w:b/>
          <w:color w:val="000000"/>
          <w:sz w:val="21"/>
        </w:rPr>
        <w:t xml:space="preserve">Vérifier la base légale RGPD</w:t>
      </w:r>
      <w:r>
        <w:rPr>
          <w:rFonts w:eastAsia="source serif 4" w:cs="source serif 4" w:ascii="source serif 4" w:hAnsi="source serif 4"/>
          <w:color w:val="000000"/>
          <w:sz w:val="21"/>
        </w:rPr>
        <w:t xml:space="preserve"> (consentement, contrat, intérêt légitime…) et informer les personnes de manière accessible (affiches, fiches d’information, mentions dans les formulaires).</w:t>
      </w:r>
    </w:p>
    <w:p>
      <w:pPr>
        <w:numPr>
          <w:ilvl w:val="0"/>
          <w:numId w:val="7"/>
        </w:numPr>
        <w:spacing w:line="360" w:before="105" w:after="105" w:lineRule="auto"/>
      </w:pPr>
      <w:r>
        <w:rPr>
          <w:rFonts w:eastAsia="source serif 4" w:cs="source serif 4" w:ascii="source serif 4" w:hAnsi="source serif 4"/>
          <w:b/>
          <w:color w:val="000000"/>
          <w:sz w:val="21"/>
        </w:rPr>
        <w:t xml:space="preserve">Appliquer les obligations de transparence de l’AI Act</w:t>
      </w:r>
      <w:r>
        <w:rPr>
          <w:rFonts w:eastAsia="source serif 4" w:cs="source serif 4" w:ascii="source serif 4" w:hAnsi="source serif 4"/>
          <w:color w:val="000000"/>
          <w:sz w:val="21"/>
        </w:rPr>
        <w:t xml:space="preserve"> dès lors qu’un chatbot ou un générateur de contenus est utilisé pour interagir avec le public ou produire des informations.</w:t>
      </w:r>
    </w:p>
    <w:p>
      <w:pPr>
        <w:numPr>
          <w:ilvl w:val="0"/>
          <w:numId w:val="7"/>
        </w:numPr>
        <w:spacing w:line="360" w:before="105" w:after="105" w:lineRule="auto"/>
      </w:pPr>
      <w:r>
        <w:rPr>
          <w:rFonts w:eastAsia="source serif 4" w:cs="source serif 4" w:ascii="source serif 4" w:hAnsi="source serif 4"/>
          <w:b/>
          <w:color w:val="000000"/>
          <w:sz w:val="21"/>
        </w:rPr>
        <w:t xml:space="preserve">Impliquer le DPO ou référent RGPD</w:t>
      </w:r>
      <w:r>
        <w:rPr>
          <w:rFonts w:eastAsia="source serif 4" w:cs="source serif 4" w:ascii="source serif 4" w:hAnsi="source serif 4"/>
          <w:color w:val="000000"/>
          <w:sz w:val="21"/>
        </w:rPr>
        <w:t xml:space="preserve"> (quand il existe) et documenter les choix (registre des traitements, AIPD si nécessaire).[</w:t>
      </w:r>
      <w:r>
        <w:rPr>
          <w:rFonts w:eastAsia="source serif 4" w:cs="source serif 4" w:ascii="source serif 4" w:hAnsi="source serif 4"/>
          <w:color w:val="000000"/>
          <w:sz w:val="21"/>
          <w:vertAlign w:val="superscript"/>
        </w:rPr>
        <w:t xml:space="preserve">5][</w:t>
      </w:r>
      <w:r>
        <w:rPr>
          <w:rFonts w:eastAsia="source serif 4" w:cs="source serif 4" w:ascii="source serif 4" w:hAnsi="source serif 4"/>
          <w:color w:val="000000"/>
          <w:sz w:val="21"/>
        </w:rPr>
        <w:t xml:space="preserve">3]</w:t>
      </w:r>
    </w:p>
    <w:p>
      <w:pPr>
        <w:numPr>
          <w:ilvl w:val="0"/>
          <w:numId w:val="7"/>
        </w:numPr>
        <w:spacing w:line="360" w:before="105" w:after="105" w:lineRule="auto"/>
      </w:pPr>
      <w:r>
        <w:rPr>
          <w:rFonts w:eastAsia="source serif 4" w:cs="source serif 4" w:ascii="source serif 4" w:hAnsi="source serif 4"/>
          <w:b/>
          <w:color w:val="000000"/>
          <w:sz w:val="21"/>
        </w:rPr>
        <w:t xml:space="preserve">Former les équipes</w:t>
      </w:r>
      <w:r>
        <w:rPr>
          <w:rFonts w:eastAsia="source serif 4" w:cs="source serif 4" w:ascii="source serif 4" w:hAnsi="source serif 4"/>
          <w:color w:val="000000"/>
          <w:sz w:val="21"/>
        </w:rPr>
        <w:t xml:space="preserve"> aux usages autorisés, aux risques (hallucinations, biais, sécurité) et aux bonnes pratiques recommandées par la CNIL.[</w:t>
      </w:r>
      <w:r>
        <w:rPr>
          <w:rFonts w:eastAsia="source serif 4" w:cs="source serif 4" w:ascii="source serif 4" w:hAnsi="source serif 4"/>
          <w:color w:val="000000"/>
          <w:sz w:val="21"/>
          <w:vertAlign w:val="superscript"/>
        </w:rPr>
        <w:t xml:space="preserve">9][</w:t>
      </w:r>
      <w:r>
        <w:rPr>
          <w:rFonts w:eastAsia="source serif 4" w:cs="source serif 4" w:ascii="source serif 4" w:hAnsi="source serif 4"/>
          <w:color w:val="000000"/>
          <w:sz w:val="21"/>
        </w:rPr>
        <w:t xml:space="preserve">5]</w:t>
      </w:r>
    </w:p>
    <w:p>
      <w:pPr>
        <w:spacing w:line="360" w:before="315" w:after="105" w:lineRule="auto"/>
        <w:ind w:left="-30"/>
        <w:jc w:val="left"/>
      </w:pPr>
      <w:bookmarkStart w:id="7" w:name="bm_3_impact_environnemental_de_l_e278a3"/>
      <w:r>
        <w:rPr>
          <w:rFonts w:eastAsia="source serif 4" w:cs="source serif 4" w:ascii="source serif 4" w:hAnsi="source serif 4"/>
          <w:b/>
          <w:color w:val="000000"/>
          <w:sz w:val="24"/>
        </w:rPr>
        <w:t xml:space="preserve">3. Impact environnemental de l’IA générative et leviers de sobriété numérique</w:t>
      </w:r>
      <w:bookmarkEnd w:id="7"/>
    </w:p>
    <w:p>
      <w:pPr>
        <w:spacing w:line="360" w:before="315" w:after="105" w:lineRule="auto"/>
        <w:ind w:left="-30"/>
        <w:jc w:val="left"/>
      </w:pPr>
      <w:bookmarkStart w:id="8" w:name="bm_3_1_une_empreinte_environnemen_ef2605"/>
      <w:r>
        <w:rPr>
          <w:rFonts w:eastAsia="source serif 4" w:cs="source serif 4" w:ascii="source serif 4" w:hAnsi="source serif 4"/>
          <w:b/>
          <w:color w:val="000000"/>
          <w:sz w:val="24"/>
        </w:rPr>
        <w:t xml:space="preserve">3.1. Une empreinte environnementale significative</w:t>
      </w:r>
      <w:bookmarkEnd w:id="8"/>
    </w:p>
    <w:p>
      <w:pPr>
        <w:spacing w:line="360" w:after="210" w:lineRule="auto"/>
      </w:pPr>
      <w:r>
        <w:rPr>
          <w:rFonts w:eastAsia="source serif 4" w:cs="source serif 4" w:ascii="source serif 4" w:hAnsi="source serif 4"/>
          <w:color w:val="000000"/>
        </w:rPr>
        <w:t xml:space="preserve">Les travaux scientifiques et institutionnels convergent pour montrer que l’IA, en particulier l’IA générative, a une empreinte environnementale non négligeable, liée :</w:t>
      </w:r>
    </w:p>
    <w:p>
      <w:pPr>
        <w:numPr>
          <w:ilvl w:val="0"/>
          <w:numId w:val="8"/>
        </w:numPr>
        <w:spacing w:line="360" w:before="105" w:after="105" w:lineRule="auto"/>
      </w:pPr>
      <w:r>
        <w:rPr>
          <w:rFonts w:eastAsia="source serif 4" w:cs="source serif 4" w:ascii="source serif 4" w:hAnsi="source serif 4"/>
          <w:color w:val="000000"/>
          <w:sz w:val="21"/>
        </w:rPr>
        <w:t xml:space="preserve">à la </w:t>
      </w:r>
      <w:r>
        <w:rPr>
          <w:rFonts w:eastAsia="source serif 4" w:cs="source serif 4" w:ascii="source serif 4" w:hAnsi="source serif 4"/>
          <w:b/>
          <w:color w:val="000000"/>
          <w:sz w:val="21"/>
        </w:rPr>
        <w:t xml:space="preserve">fabrication des équipements</w:t>
      </w:r>
      <w:r>
        <w:rPr>
          <w:rFonts w:eastAsia="source serif 4" w:cs="source serif 4" w:ascii="source serif 4" w:hAnsi="source serif 4"/>
          <w:color w:val="000000"/>
          <w:sz w:val="21"/>
        </w:rPr>
        <w:t xml:space="preserve"> (serveurs, GPU, réseaux), gourmande en métaux rares et en énergie ;</w:t>
      </w:r>
    </w:p>
    <w:p>
      <w:pPr>
        <w:numPr>
          <w:ilvl w:val="0"/>
          <w:numId w:val="8"/>
        </w:numPr>
        <w:spacing w:line="360" w:before="105" w:after="105" w:lineRule="auto"/>
      </w:pPr>
      <w:r>
        <w:rPr>
          <w:rFonts w:eastAsia="source serif 4" w:cs="source serif 4" w:ascii="source serif 4" w:hAnsi="source serif 4"/>
          <w:color w:val="000000"/>
          <w:sz w:val="21"/>
        </w:rPr>
        <w:t xml:space="preserve">à la </w:t>
      </w:r>
      <w:r>
        <w:rPr>
          <w:rFonts w:eastAsia="source serif 4" w:cs="source serif 4" w:ascii="source serif 4" w:hAnsi="source serif 4"/>
          <w:b/>
          <w:color w:val="000000"/>
          <w:sz w:val="21"/>
        </w:rPr>
        <w:t xml:space="preserve">consommation d’électricité</w:t>
      </w:r>
      <w:r>
        <w:rPr>
          <w:rFonts w:eastAsia="source serif 4" w:cs="source serif 4" w:ascii="source serif 4" w:hAnsi="source serif 4"/>
          <w:color w:val="000000"/>
          <w:sz w:val="21"/>
        </w:rPr>
        <w:t xml:space="preserve"> des centres de données pour l’entraînement et l’inférence des modèles ;</w:t>
      </w:r>
    </w:p>
    <w:p>
      <w:pPr>
        <w:numPr>
          <w:ilvl w:val="0"/>
          <w:numId w:val="8"/>
        </w:numPr>
        <w:spacing w:line="360" w:before="105" w:after="105" w:lineRule="auto"/>
      </w:pPr>
      <w:r>
        <w:rPr>
          <w:rFonts w:eastAsia="source serif 4" w:cs="source serif 4" w:ascii="source serif 4" w:hAnsi="source serif 4"/>
          <w:color w:val="000000"/>
          <w:sz w:val="21"/>
        </w:rPr>
        <w:t xml:space="preserve">à la </w:t>
      </w:r>
      <w:r>
        <w:rPr>
          <w:rFonts w:eastAsia="source serif 4" w:cs="source serif 4" w:ascii="source serif 4" w:hAnsi="source serif 4"/>
          <w:b/>
          <w:color w:val="000000"/>
          <w:sz w:val="21"/>
        </w:rPr>
        <w:t xml:space="preserve">consommation d’eau</w:t>
      </w:r>
      <w:r>
        <w:rPr>
          <w:rFonts w:eastAsia="source serif 4" w:cs="source serif 4" w:ascii="source serif 4" w:hAnsi="source serif 4"/>
          <w:color w:val="000000"/>
          <w:sz w:val="21"/>
        </w:rPr>
        <w:t xml:space="preserve"> pour le refroidissement des data centers.[</w:t>
      </w:r>
      <w:r>
        <w:rPr>
          <w:rFonts w:eastAsia="source serif 4" w:cs="source serif 4" w:ascii="source serif 4" w:hAnsi="source serif 4"/>
          <w:color w:val="000000"/>
          <w:sz w:val="21"/>
          <w:vertAlign w:val="superscript"/>
        </w:rPr>
        <w:t xml:space="preserve">10][</w:t>
      </w:r>
      <w:r>
        <w:rPr>
          <w:rFonts w:eastAsia="source serif 4" w:cs="source serif 4" w:ascii="source serif 4" w:hAnsi="source serif 4"/>
          <w:color w:val="000000"/>
          <w:sz w:val="21"/>
        </w:rPr>
        <w:t xml:space="preserve">11][^12]</w:t>
      </w:r>
    </w:p>
    <w:p>
      <w:pPr>
        <w:spacing w:line="360" w:after="210" w:lineRule="auto"/>
      </w:pPr>
      <w:r>
        <w:rPr>
          <w:rFonts w:eastAsia="source serif 4" w:cs="source serif 4" w:ascii="source serif 4" w:hAnsi="source serif 4"/>
          <w:color w:val="000000"/>
        </w:rPr>
        <w:t xml:space="preserve">Une synthèse Inrae indique que l’entraînement de grands modèles peut entraîner des émissions allant de plusieurs centaines de kilogrammes à plus de 100 tonnes de CO₂e pour un seul modèle d’apprentissage profond. Des estimations récentes évaluent les émissions de gaz à effet de serre liées à l’IA en Europe à plus de 3 millions de tonnes de CO₂e en 2024.[</w:t>
      </w:r>
      <w:r>
        <w:rPr>
          <w:rFonts w:eastAsia="source serif 4" w:cs="source serif 4" w:ascii="source serif 4" w:hAnsi="source serif 4"/>
          <w:color w:val="000000"/>
          <w:vertAlign w:val="superscript"/>
        </w:rPr>
        <w:t xml:space="preserve">11][</w:t>
      </w:r>
      <w:r>
        <w:rPr>
          <w:rFonts w:eastAsia="source serif 4" w:cs="source serif 4" w:ascii="source serif 4" w:hAnsi="source serif 4"/>
          <w:color w:val="000000"/>
        </w:rPr>
        <w:t xml:space="preserve">10]</w:t>
      </w:r>
    </w:p>
    <w:p>
      <w:pPr>
        <w:spacing w:line="360" w:after="210" w:lineRule="auto"/>
      </w:pPr>
      <w:r>
        <w:rPr>
          <w:rFonts w:eastAsia="source serif 4" w:cs="source serif 4" w:ascii="source serif 4" w:hAnsi="source serif 4"/>
          <w:color w:val="000000"/>
        </w:rPr>
        <w:t xml:space="preserve">Les besoins en eau sont également très importants : des chercheurs ont estimé que l’entraînement d’un grand modèle comme GPT‑3 a nécessité près de 700 000 litres d’eau douce pour le refroidissement, et que la demande mondiale en eau de l’IA pourrait atteindre plusieurs milliards de mètres cubes d’ici 2027. Des rapports d’entreprises comme Google et Microsoft montrent par ailleurs une hausse de 28 à 54% de leur consommation d’eau et de leurs émissions de GES en quelques années, largement imputée à l’essor de l’IA.[</w:t>
      </w:r>
      <w:r>
        <w:rPr>
          <w:rFonts w:eastAsia="source serif 4" w:cs="source serif 4" w:ascii="source serif 4" w:hAnsi="source serif 4"/>
          <w:color w:val="000000"/>
          <w:vertAlign w:val="superscript"/>
        </w:rPr>
        <w:t xml:space="preserve">12][</w:t>
      </w:r>
      <w:r>
        <w:rPr>
          <w:rFonts w:eastAsia="source serif 4" w:cs="source serif 4" w:ascii="source serif 4" w:hAnsi="source serif 4"/>
          <w:color w:val="000000"/>
        </w:rPr>
        <w:t xml:space="preserve">13][</w:t>
      </w:r>
      <w:r>
        <w:rPr>
          <w:rFonts w:eastAsia="source serif 4" w:cs="source serif 4" w:ascii="source serif 4" w:hAnsi="source serif 4"/>
          <w:color w:val="000000"/>
          <w:vertAlign w:val="superscript"/>
        </w:rPr>
        <w:t xml:space="preserve">14][</w:t>
      </w:r>
      <w:r>
        <w:rPr>
          <w:rFonts w:eastAsia="source serif 4" w:cs="source serif 4" w:ascii="source serif 4" w:hAnsi="source serif 4"/>
          <w:color w:val="000000"/>
        </w:rPr>
        <w:t xml:space="preserve">10]</w:t>
      </w:r>
    </w:p>
    <w:p>
      <w:pPr>
        <w:spacing w:line="360" w:before="315" w:after="105" w:lineRule="auto"/>
        <w:ind w:left="-30"/>
        <w:jc w:val="left"/>
      </w:pPr>
      <w:bookmarkStart w:id="9" w:name="bm_3_2_effet_rebond_et_banalisati_f1fd87"/>
      <w:r>
        <w:rPr>
          <w:rFonts w:eastAsia="source serif 4" w:cs="source serif 4" w:ascii="source serif 4" w:hAnsi="source serif 4"/>
          <w:b/>
          <w:color w:val="000000"/>
          <w:sz w:val="24"/>
        </w:rPr>
        <w:t xml:space="preserve">3.2. Effet rebond et banalisation de l’IA générative</w:t>
      </w:r>
      <w:bookmarkEnd w:id="9"/>
    </w:p>
    <w:p>
      <w:pPr>
        <w:spacing w:line="360" w:after="210" w:lineRule="auto"/>
      </w:pPr>
      <w:r>
        <w:rPr>
          <w:rFonts w:eastAsia="source serif 4" w:cs="source serif 4" w:ascii="source serif 4" w:hAnsi="source serif 4"/>
          <w:color w:val="000000"/>
        </w:rPr>
        <w:t xml:space="preserve">Certaines études de communication d’entreprise minimisent l’impact d’un « prompt » isolé (par exemple 0,003 g de CO₂ et quelques gouttes d’eau par requête), mais des analyses indépendantes soulignent que ces chiffres reposent sur des choix méthodologiques peu transparents et ne tiennent pas compte de l’effet rebond : plus l’IA est perçue comme « écologique », plus son usage explose, et plus l’empreinte globale augmente.[^13]</w:t>
      </w:r>
    </w:p>
    <w:p>
      <w:pPr>
        <w:spacing w:line="360" w:after="210" w:lineRule="auto"/>
      </w:pPr>
      <w:r>
        <w:rPr>
          <w:rFonts w:eastAsia="source serif 4" w:cs="source serif 4" w:ascii="source serif 4" w:hAnsi="source serif 4"/>
          <w:color w:val="000000"/>
        </w:rPr>
        <w:t xml:space="preserve">L’IA générative se diffuse comme fonctionnalité par défaut dans les suites bureautiques, les moteurs de recherche ou les outils de communication, ce qui tend à multiplier les requêtes sans réelle nécessité. Pour les acteurs associatifs, la question se pose donc en termes de </w:t>
      </w:r>
      <w:r>
        <w:rPr>
          <w:rFonts w:eastAsia="source serif 4" w:cs="source serif 4" w:ascii="source serif 4" w:hAnsi="source serif 4"/>
          <w:b/>
          <w:color w:val="000000"/>
        </w:rPr>
        <w:t xml:space="preserve">sobriété d’usage</w:t>
      </w:r>
      <w:r>
        <w:rPr>
          <w:rFonts w:eastAsia="source serif 4" w:cs="source serif 4" w:ascii="source serif 4" w:hAnsi="source serif 4"/>
          <w:color w:val="000000"/>
        </w:rPr>
        <w:t xml:space="preserve"> : quand l’IA apporte‑t‑elle une réelle plus‑value sociale, et quand n’est‑elle qu’un gadget coûteux pour l’environnement ?[^13]</w:t>
      </w:r>
    </w:p>
    <w:p>
      <w:pPr>
        <w:spacing w:line="360" w:before="315" w:after="105" w:lineRule="auto"/>
        <w:ind w:left="-30"/>
        <w:jc w:val="left"/>
      </w:pPr>
      <w:bookmarkStart w:id="10" w:name="bm_3_3_leviers_de_sobriété_numéri_a76b48"/>
      <w:r>
        <w:rPr>
          <w:rFonts w:eastAsia="source serif 4" w:cs="source serif 4" w:ascii="source serif 4" w:hAnsi="source serif 4"/>
          <w:b/>
          <w:color w:val="000000"/>
          <w:sz w:val="24"/>
        </w:rPr>
        <w:t xml:space="preserve">3.3. Leviers de sobriété numérique pour les associations</w:t>
      </w:r>
      <w:bookmarkEnd w:id="10"/>
    </w:p>
    <w:p>
      <w:pPr>
        <w:spacing w:line="360" w:after="210" w:lineRule="auto"/>
      </w:pPr>
      <w:r>
        <w:rPr>
          <w:rFonts w:eastAsia="source serif 4" w:cs="source serif 4" w:ascii="source serif 4" w:hAnsi="source serif 4"/>
          <w:color w:val="000000"/>
        </w:rPr>
        <w:t xml:space="preserve">Dans une formation, il est possible d’outiller les structures associatives pour réduire l’empreinte environnementale liée à l’IA en combinant plusieurs leviers :</w:t>
      </w:r>
    </w:p>
    <w:p>
      <w:pPr>
        <w:numPr>
          <w:ilvl w:val="0"/>
          <w:numId w:val="9"/>
        </w:numPr>
        <w:spacing w:line="360" w:before="105" w:after="105" w:lineRule="auto"/>
      </w:pPr>
      <w:r>
        <w:rPr>
          <w:rFonts w:eastAsia="source serif 4" w:cs="source serif 4" w:ascii="source serif 4" w:hAnsi="source serif 4"/>
          <w:b/>
          <w:color w:val="000000"/>
          <w:sz w:val="21"/>
        </w:rPr>
        <w:t xml:space="preserve">Interroger la pertinence des cas d’usage</w:t>
      </w:r>
      <w:r>
        <w:rPr>
          <w:rFonts w:eastAsia="source serif 4" w:cs="source serif 4" w:ascii="source serif 4" w:hAnsi="source serif 4"/>
          <w:color w:val="000000"/>
          <w:sz w:val="21"/>
        </w:rPr>
        <w:t xml:space="preserve"> : éviter d’utiliser l’IA pour des tâches simples ou peu fréquentes qui peuvent être réalisées sans elle ; réserver l’IA aux cas où elle libère du temps pour la relation humaine ou améliore significativement l’accès aux droits.[</w:t>
      </w:r>
      <w:r>
        <w:rPr>
          <w:rFonts w:eastAsia="source serif 4" w:cs="source serif 4" w:ascii="source serif 4" w:hAnsi="source serif 4"/>
          <w:color w:val="000000"/>
          <w:sz w:val="21"/>
          <w:vertAlign w:val="superscript"/>
        </w:rPr>
        <w:t xml:space="preserve">10][</w:t>
      </w:r>
      <w:r>
        <w:rPr>
          <w:rFonts w:eastAsia="source serif 4" w:cs="source serif 4" w:ascii="source serif 4" w:hAnsi="source serif 4"/>
          <w:color w:val="000000"/>
          <w:sz w:val="21"/>
        </w:rPr>
        <w:t xml:space="preserve">12]</w:t>
      </w:r>
    </w:p>
    <w:p>
      <w:pPr>
        <w:numPr>
          <w:ilvl w:val="0"/>
          <w:numId w:val="9"/>
        </w:numPr>
        <w:spacing w:line="360" w:before="105" w:after="105" w:lineRule="auto"/>
      </w:pPr>
      <w:r>
        <w:rPr>
          <w:rFonts w:eastAsia="source serif 4" w:cs="source serif 4" w:ascii="source serif 4" w:hAnsi="source serif 4"/>
          <w:b/>
          <w:color w:val="000000"/>
          <w:sz w:val="21"/>
        </w:rPr>
        <w:t xml:space="preserve">Limiter le volume de requêtes</w:t>
      </w:r>
      <w:r>
        <w:rPr>
          <w:rFonts w:eastAsia="source serif 4" w:cs="source serif 4" w:ascii="source serif 4" w:hAnsi="source serif 4"/>
          <w:color w:val="000000"/>
          <w:sz w:val="21"/>
        </w:rPr>
        <w:t xml:space="preserve"> : privilégier des usages ponctuels, encourager une formulation plus réfléchie des prompts pour éviter les itérations inutiles.[^13]</w:t>
      </w:r>
    </w:p>
    <w:p>
      <w:pPr>
        <w:numPr>
          <w:ilvl w:val="0"/>
          <w:numId w:val="9"/>
        </w:numPr>
        <w:spacing w:line="360" w:before="105" w:after="105" w:lineRule="auto"/>
      </w:pPr>
      <w:r>
        <w:rPr>
          <w:rFonts w:eastAsia="source serif 4" w:cs="source serif 4" w:ascii="source serif 4" w:hAnsi="source serif 4"/>
          <w:b/>
          <w:color w:val="000000"/>
          <w:sz w:val="21"/>
        </w:rPr>
        <w:t xml:space="preserve">Choisir des services plus sobres</w:t>
      </w:r>
      <w:r>
        <w:rPr>
          <w:rFonts w:eastAsia="source serif 4" w:cs="source serif 4" w:ascii="source serif 4" w:hAnsi="source serif 4"/>
          <w:color w:val="000000"/>
          <w:sz w:val="21"/>
        </w:rPr>
        <w:t xml:space="preserve"> : se renseigner sur l’empreinte environnementale des fournisseurs (rapports ESG, mix énergétique, localisation des data centers), privilégier des services hébergés sur des infrastructures plus sobres ou locales lorsque c’est possible.[</w:t>
      </w:r>
      <w:r>
        <w:rPr>
          <w:rFonts w:eastAsia="source serif 4" w:cs="source serif 4" w:ascii="source serif 4" w:hAnsi="source serif 4"/>
          <w:color w:val="000000"/>
          <w:sz w:val="21"/>
          <w:vertAlign w:val="superscript"/>
        </w:rPr>
        <w:t xml:space="preserve">15][</w:t>
      </w:r>
      <w:r>
        <w:rPr>
          <w:rFonts w:eastAsia="source serif 4" w:cs="source serif 4" w:ascii="source serif 4" w:hAnsi="source serif 4"/>
          <w:color w:val="000000"/>
          <w:sz w:val="21"/>
        </w:rPr>
        <w:t xml:space="preserve">11][^10]</w:t>
      </w:r>
    </w:p>
    <w:p>
      <w:pPr>
        <w:numPr>
          <w:ilvl w:val="0"/>
          <w:numId w:val="9"/>
        </w:numPr>
        <w:spacing w:line="360" w:before="105" w:after="105" w:lineRule="auto"/>
      </w:pPr>
      <w:r>
        <w:rPr>
          <w:rFonts w:eastAsia="source serif 4" w:cs="source serif 4" w:ascii="source serif 4" w:hAnsi="source serif 4"/>
          <w:b/>
          <w:color w:val="000000"/>
          <w:sz w:val="21"/>
        </w:rPr>
        <w:t xml:space="preserve">Mutualiser les ressources</w:t>
      </w:r>
      <w:r>
        <w:rPr>
          <w:rFonts w:eastAsia="source serif 4" w:cs="source serif 4" w:ascii="source serif 4" w:hAnsi="source serif 4"/>
          <w:color w:val="000000"/>
          <w:sz w:val="21"/>
        </w:rPr>
        <w:t xml:space="preserve"> : au sein d’un réseau (fédération, réseau Info Jeunes, etc.), partager des modèles, des prompts et des bonnes pratiques plutôt que de multiplier les comptes et les services.[</w:t>
      </w:r>
      <w:r>
        <w:rPr>
          <w:rFonts w:eastAsia="source serif 4" w:cs="source serif 4" w:ascii="source serif 4" w:hAnsi="source serif 4"/>
          <w:color w:val="000000"/>
          <w:sz w:val="21"/>
          <w:vertAlign w:val="superscript"/>
        </w:rPr>
        <w:t xml:space="preserve">16][</w:t>
      </w:r>
      <w:r>
        <w:rPr>
          <w:rFonts w:eastAsia="source serif 4" w:cs="source serif 4" w:ascii="source serif 4" w:hAnsi="source serif 4"/>
          <w:color w:val="000000"/>
          <w:sz w:val="21"/>
        </w:rPr>
        <w:t xml:space="preserve">17]</w:t>
      </w:r>
    </w:p>
    <w:p>
      <w:pPr>
        <w:numPr>
          <w:ilvl w:val="0"/>
          <w:numId w:val="9"/>
        </w:numPr>
        <w:spacing w:line="360" w:before="105" w:after="105" w:lineRule="auto"/>
      </w:pPr>
      <w:r>
        <w:rPr>
          <w:rFonts w:eastAsia="source serif 4" w:cs="source serif 4" w:ascii="source serif 4" w:hAnsi="source serif 4"/>
          <w:b/>
          <w:color w:val="000000"/>
          <w:sz w:val="21"/>
        </w:rPr>
        <w:t xml:space="preserve">Articuler sobriété numérique et éco‑conception</w:t>
      </w:r>
      <w:r>
        <w:rPr>
          <w:rFonts w:eastAsia="source serif 4" w:cs="source serif 4" w:ascii="source serif 4" w:hAnsi="source serif 4"/>
          <w:color w:val="000000"/>
          <w:sz w:val="21"/>
        </w:rPr>
        <w:t xml:space="preserve"> : intégrer l’IA dans une démarche plus large de réduction de l’empreinte du numérique (durée de vie des équipements, gestion des mails, stockage, etc.).[^11]</w:t>
      </w:r>
    </w:p>
    <w:p>
      <w:pPr>
        <w:spacing w:line="360" w:after="210" w:lineRule="auto"/>
      </w:pPr>
      <w:r>
        <w:rPr>
          <w:rFonts w:eastAsia="source serif 4" w:cs="source serif 4" w:ascii="source serif 4" w:hAnsi="source serif 4"/>
          <w:color w:val="000000"/>
        </w:rPr>
        <w:t xml:space="preserve">La formation peut proposer des exercices d’estimation approximative (ordre de grandeur) de l’impact de certains usages, et des ateliers de priorisation des cas d’usage selon leur utilité sociale et leur poids environnemental.</w:t>
      </w:r>
    </w:p>
    <w:p>
      <w:pPr>
        <w:spacing w:line="360" w:before="315" w:after="105" w:lineRule="auto"/>
        <w:ind w:left="-30"/>
        <w:jc w:val="left"/>
      </w:pPr>
      <w:bookmarkStart w:id="11" w:name="bm_4_souveraineté_des_données_dép_e097a3"/>
      <w:r>
        <w:rPr>
          <w:rFonts w:eastAsia="source serif 4" w:cs="source serif 4" w:ascii="source serif 4" w:hAnsi="source serif 4"/>
          <w:b/>
          <w:color w:val="000000"/>
          <w:sz w:val="24"/>
        </w:rPr>
        <w:t xml:space="preserve">4. Souveraineté des données, dépendance technologique et choix de cloud</w:t>
      </w:r>
      <w:bookmarkEnd w:id="11"/>
    </w:p>
    <w:p>
      <w:pPr>
        <w:spacing w:line="360" w:before="315" w:after="105" w:lineRule="auto"/>
        <w:ind w:left="-30"/>
        <w:jc w:val="left"/>
      </w:pPr>
      <w:bookmarkStart w:id="12" w:name="bm_4_1_concentration_des_infrastr_77d6cd"/>
      <w:r>
        <w:rPr>
          <w:rFonts w:eastAsia="source serif 4" w:cs="source serif 4" w:ascii="source serif 4" w:hAnsi="source serif 4"/>
          <w:b/>
          <w:color w:val="000000"/>
          <w:sz w:val="24"/>
        </w:rPr>
        <w:t xml:space="preserve">4.1. Concentration des infrastructures et dépendance aux hyperscalers</w:t>
      </w:r>
      <w:bookmarkEnd w:id="12"/>
    </w:p>
    <w:p>
      <w:pPr>
        <w:spacing w:line="360" w:after="210" w:lineRule="auto"/>
      </w:pPr>
      <w:r>
        <w:rPr>
          <w:rFonts w:eastAsia="source serif 4" w:cs="source serif 4" w:ascii="source serif 4" w:hAnsi="source serif 4"/>
          <w:color w:val="000000"/>
        </w:rPr>
        <w:t xml:space="preserve">Le développement de l’IA repose sur des infrastructures de cloud et de calcul de très grande taille, aujourd’hui largement dominées par quelques acteurs (les grands groupes américains et chinois, souvent regroupés sous l’acronyme GAFAM). Ces entreprises disposent de moyens financiers et technologiques qui leur permettent de fixer des standards, de capter les données et de verrouiller des écosystèmes entiers.[</w:t>
      </w:r>
      <w:r>
        <w:rPr>
          <w:rFonts w:eastAsia="source serif 4" w:cs="source serif 4" w:ascii="source serif 4" w:hAnsi="source serif 4"/>
          <w:color w:val="000000"/>
          <w:vertAlign w:val="superscript"/>
        </w:rPr>
        <w:t xml:space="preserve">18][</w:t>
      </w:r>
      <w:r>
        <w:rPr>
          <w:rFonts w:eastAsia="source serif 4" w:cs="source serif 4" w:ascii="source serif 4" w:hAnsi="source serif 4"/>
          <w:color w:val="000000"/>
        </w:rPr>
        <w:t xml:space="preserve">19][^20]</w:t>
      </w:r>
    </w:p>
    <w:p>
      <w:pPr>
        <w:spacing w:line="360" w:after="210" w:lineRule="auto"/>
      </w:pPr>
      <w:r>
        <w:rPr>
          <w:rFonts w:eastAsia="source serif 4" w:cs="source serif 4" w:ascii="source serif 4" w:hAnsi="source serif 4"/>
          <w:color w:val="000000"/>
        </w:rPr>
        <w:t xml:space="preserve">Cette concentration crée une </w:t>
      </w:r>
      <w:r>
        <w:rPr>
          <w:rFonts w:eastAsia="source serif 4" w:cs="source serif 4" w:ascii="source serif 4" w:hAnsi="source serif 4"/>
          <w:b/>
          <w:color w:val="000000"/>
        </w:rPr>
        <w:t xml:space="preserve">dépendance technologique</w:t>
      </w:r>
      <w:r>
        <w:rPr>
          <w:rFonts w:eastAsia="source serif 4" w:cs="source serif 4" w:ascii="source serif 4" w:hAnsi="source serif 4"/>
          <w:color w:val="000000"/>
        </w:rPr>
        <w:t xml:space="preserve"> forte pour les organisations européennes, y compris les associations et acteurs de terrain, qui se retrouvent à utiliser des services hébergés hors UE ou soumis à des législations extraterritoriales (CLOUD Act, lois de surveillance, etc.). La question de la souveraineté numérique se pose alors pour les données des publics accompagnés (jeunes, publics vulnérables) et pour les contenus produits dans le cadre de projets associatifs.[</w:t>
      </w:r>
      <w:r>
        <w:rPr>
          <w:rFonts w:eastAsia="source serif 4" w:cs="source serif 4" w:ascii="source serif 4" w:hAnsi="source serif 4"/>
          <w:color w:val="000000"/>
          <w:vertAlign w:val="superscript"/>
        </w:rPr>
        <w:t xml:space="preserve">21][</w:t>
      </w:r>
      <w:r>
        <w:rPr>
          <w:rFonts w:eastAsia="source serif 4" w:cs="source serif 4" w:ascii="source serif 4" w:hAnsi="source serif 4"/>
          <w:color w:val="000000"/>
        </w:rPr>
        <w:t xml:space="preserve">15]</w:t>
      </w:r>
    </w:p>
    <w:p>
      <w:pPr>
        <w:spacing w:line="360" w:before="315" w:after="105" w:lineRule="auto"/>
        <w:ind w:left="-30"/>
        <w:jc w:val="left"/>
      </w:pPr>
      <w:bookmarkStart w:id="13" w:name="bm_4_2_stratégies_européennes_de_a5470a"/>
      <w:r>
        <w:rPr>
          <w:rFonts w:eastAsia="source serif 4" w:cs="source serif 4" w:ascii="source serif 4" w:hAnsi="source serif 4"/>
          <w:b/>
          <w:color w:val="000000"/>
          <w:sz w:val="24"/>
        </w:rPr>
        <w:t xml:space="preserve">4.2. Stratégies européennes de souveraineté numérique</w:t>
      </w:r>
      <w:bookmarkEnd w:id="13"/>
    </w:p>
    <w:p>
      <w:pPr>
        <w:spacing w:line="360" w:after="210" w:lineRule="auto"/>
      </w:pPr>
      <w:r>
        <w:rPr>
          <w:rFonts w:eastAsia="source serif 4" w:cs="source serif 4" w:ascii="source serif 4" w:hAnsi="source serif 4"/>
          <w:color w:val="000000"/>
        </w:rPr>
        <w:t xml:space="preserve">L’UE a engagé, via plusieurs textes (RGPD, AI Act, NIS2, DORA) et des stratégies sectorielles, une politique visant à renforcer sa souveraineté numérique. Un règlement spécifique sur le développement de l’informatique en nuage et de l’IA (parfois désigné CADA) prévoit de tripler la capacité des data centers européens et de structurer le marché autour de critères de souveraineté.[</w:t>
      </w:r>
      <w:r>
        <w:rPr>
          <w:rFonts w:eastAsia="source serif 4" w:cs="source serif 4" w:ascii="source serif 4" w:hAnsi="source serif 4"/>
          <w:color w:val="000000"/>
          <w:vertAlign w:val="superscript"/>
        </w:rPr>
        <w:t xml:space="preserve">22][</w:t>
      </w:r>
      <w:r>
        <w:rPr>
          <w:rFonts w:eastAsia="source serif 4" w:cs="source serif 4" w:ascii="source serif 4" w:hAnsi="source serif 4"/>
          <w:color w:val="000000"/>
        </w:rPr>
        <w:t xml:space="preserve">6][</w:t>
      </w:r>
      <w:r>
        <w:rPr>
          <w:rFonts w:eastAsia="source serif 4" w:cs="source serif 4" w:ascii="source serif 4" w:hAnsi="source serif 4"/>
          <w:color w:val="000000"/>
          <w:vertAlign w:val="superscript"/>
        </w:rPr>
        <w:t xml:space="preserve">21][</w:t>
      </w:r>
      <w:r>
        <w:rPr>
          <w:rFonts w:eastAsia="source serif 4" w:cs="source serif 4" w:ascii="source serif 4" w:hAnsi="source serif 4"/>
          <w:color w:val="000000"/>
        </w:rPr>
        <w:t xml:space="preserve">15][^2]</w:t>
      </w:r>
    </w:p>
    <w:p>
      <w:pPr>
        <w:spacing w:line="360" w:after="210" w:lineRule="auto"/>
      </w:pPr>
      <w:r>
        <w:rPr>
          <w:rFonts w:eastAsia="source serif 4" w:cs="source serif 4" w:ascii="source serif 4" w:hAnsi="source serif 4"/>
          <w:color w:val="000000"/>
        </w:rPr>
        <w:t xml:space="preserve">Le cadre de souveraineté cloud/IA proposé par la Commission distingue plusieurs niveaux (1 à 4) selon le degré de contrôle européen sur les infrastructures, la chaîne d’approvisionnement logicielle et la gouvernance des fournisseurs. Parallèlement, un « Cloud Sovereignty Framework » vise à guider les administrations dans le choix de fournisseurs plus souverains.[</w:t>
      </w:r>
      <w:r>
        <w:rPr>
          <w:rFonts w:eastAsia="source serif 4" w:cs="source serif 4" w:ascii="source serif 4" w:hAnsi="source serif 4"/>
          <w:color w:val="000000"/>
          <w:vertAlign w:val="superscript"/>
        </w:rPr>
        <w:t xml:space="preserve">23][</w:t>
      </w:r>
      <w:r>
        <w:rPr>
          <w:rFonts w:eastAsia="source serif 4" w:cs="source serif 4" w:ascii="source serif 4" w:hAnsi="source serif 4"/>
          <w:color w:val="000000"/>
        </w:rPr>
        <w:t xml:space="preserve">24][</w:t>
      </w:r>
      <w:r>
        <w:rPr>
          <w:rFonts w:eastAsia="source serif 4" w:cs="source serif 4" w:ascii="source serif 4" w:hAnsi="source serif 4"/>
          <w:color w:val="000000"/>
          <w:vertAlign w:val="superscript"/>
        </w:rPr>
        <w:t xml:space="preserve">15][</w:t>
      </w:r>
      <w:r>
        <w:rPr>
          <w:rFonts w:eastAsia="source serif 4" w:cs="source serif 4" w:ascii="source serif 4" w:hAnsi="source serif 4"/>
          <w:color w:val="000000"/>
        </w:rPr>
        <w:t xml:space="preserve">22]</w:t>
      </w:r>
    </w:p>
    <w:p>
      <w:pPr>
        <w:spacing w:line="360" w:after="210" w:lineRule="auto"/>
      </w:pPr>
      <w:r>
        <w:rPr>
          <w:rFonts w:eastAsia="source serif 4" w:cs="source serif 4" w:ascii="source serif 4" w:hAnsi="source serif 4"/>
          <w:color w:val="000000"/>
        </w:rPr>
        <w:t xml:space="preserve">Pour les associations et structures jeunesse, ces politiques se traduisent par la possibilité de :</w:t>
      </w:r>
    </w:p>
    <w:p>
      <w:pPr>
        <w:numPr>
          <w:ilvl w:val="0"/>
          <w:numId w:val="10"/>
        </w:numPr>
        <w:spacing w:line="360" w:before="105" w:after="105" w:lineRule="auto"/>
      </w:pPr>
      <w:r>
        <w:rPr>
          <w:rFonts w:eastAsia="source serif 4" w:cs="source serif 4" w:ascii="source serif 4" w:hAnsi="source serif 4"/>
          <w:b/>
          <w:color w:val="000000"/>
          <w:sz w:val="21"/>
        </w:rPr>
        <w:t xml:space="preserve">Choisir des fournisseurs européens ou français</w:t>
      </w:r>
      <w:r>
        <w:rPr>
          <w:rFonts w:eastAsia="source serif 4" w:cs="source serif 4" w:ascii="source serif 4" w:hAnsi="source serif 4"/>
          <w:color w:val="000000"/>
          <w:sz w:val="21"/>
        </w:rPr>
        <w:t xml:space="preserve"> pour les services critiques (stockage des données sensibles, outils métiers) lorsque c’est possible.[</w:t>
      </w:r>
      <w:r>
        <w:rPr>
          <w:rFonts w:eastAsia="source serif 4" w:cs="source serif 4" w:ascii="source serif 4" w:hAnsi="source serif 4"/>
          <w:color w:val="000000"/>
          <w:sz w:val="21"/>
          <w:vertAlign w:val="superscript"/>
        </w:rPr>
        <w:t xml:space="preserve">21][</w:t>
      </w:r>
      <w:r>
        <w:rPr>
          <w:rFonts w:eastAsia="source serif 4" w:cs="source serif 4" w:ascii="source serif 4" w:hAnsi="source serif 4"/>
          <w:color w:val="000000"/>
          <w:sz w:val="21"/>
        </w:rPr>
        <w:t xml:space="preserve">15]</w:t>
      </w:r>
    </w:p>
    <w:p>
      <w:pPr>
        <w:numPr>
          <w:ilvl w:val="0"/>
          <w:numId w:val="10"/>
        </w:numPr>
        <w:spacing w:line="360" w:before="105" w:after="105" w:lineRule="auto"/>
      </w:pPr>
      <w:r>
        <w:rPr>
          <w:rFonts w:eastAsia="source serif 4" w:cs="source serif 4" w:ascii="source serif 4" w:hAnsi="source serif 4"/>
          <w:b/>
          <w:color w:val="000000"/>
          <w:sz w:val="21"/>
        </w:rPr>
        <w:t xml:space="preserve">Isoler les données sensibles</w:t>
      </w:r>
      <w:r>
        <w:rPr>
          <w:rFonts w:eastAsia="source serif 4" w:cs="source serif 4" w:ascii="source serif 4" w:hAnsi="source serif 4"/>
          <w:color w:val="000000"/>
          <w:sz w:val="21"/>
        </w:rPr>
        <w:t xml:space="preserve"> (ex. données de santé, situations sociales, parcours de jeunes) sur des infrastructures plus maîtrisées, même si certains services d’IA plus généralistes restent hébergés chez des hyperscalers.[^21]</w:t>
      </w:r>
    </w:p>
    <w:p>
      <w:pPr>
        <w:spacing w:line="360" w:before="315" w:after="105" w:lineRule="auto"/>
        <w:ind w:left="-30"/>
        <w:jc w:val="left"/>
      </w:pPr>
      <w:bookmarkStart w:id="14" w:name="bm_4_3_pistes_pour_les_structures_576f89"/>
      <w:r>
        <w:rPr>
          <w:rFonts w:eastAsia="source serif 4" w:cs="source serif 4" w:ascii="source serif 4" w:hAnsi="source serif 4"/>
          <w:b/>
          <w:color w:val="000000"/>
          <w:sz w:val="24"/>
        </w:rPr>
        <w:t xml:space="preserve">4.3. Pistes pour les structures associatives</w:t>
      </w:r>
      <w:bookmarkEnd w:id="14"/>
    </w:p>
    <w:p>
      <w:pPr>
        <w:spacing w:line="360" w:after="210" w:lineRule="auto"/>
      </w:pPr>
      <w:r>
        <w:rPr>
          <w:rFonts w:eastAsia="source serif 4" w:cs="source serif 4" w:ascii="source serif 4" w:hAnsi="source serif 4"/>
          <w:color w:val="000000"/>
        </w:rPr>
        <w:t xml:space="preserve">Dans une formation, les enjeux de souveraineté peuvent être abordés de manière pragmatique :</w:t>
      </w:r>
    </w:p>
    <w:p>
      <w:pPr>
        <w:numPr>
          <w:ilvl w:val="0"/>
          <w:numId w:val="11"/>
        </w:numPr>
        <w:spacing w:line="360" w:before="105" w:after="105" w:lineRule="auto"/>
      </w:pPr>
      <w:r>
        <w:rPr>
          <w:rFonts w:eastAsia="source serif 4" w:cs="source serif 4" w:ascii="source serif 4" w:hAnsi="source serif 4"/>
          <w:b/>
          <w:color w:val="000000"/>
          <w:sz w:val="21"/>
        </w:rPr>
        <w:t xml:space="preserve">Cartographier les données</w:t>
      </w:r>
      <w:r>
        <w:rPr>
          <w:rFonts w:eastAsia="source serif 4" w:cs="source serif 4" w:ascii="source serif 4" w:hAnsi="source serif 4"/>
          <w:color w:val="000000"/>
          <w:sz w:val="21"/>
        </w:rPr>
        <w:t xml:space="preserve"> : distinguer les données sensibles (santé, vulnérabilité, trajectoires individuelles, situations familiales) des données moins sensibles (statistiques globales, contenus publics), pour décider où et comment les stocker.[</w:t>
      </w:r>
      <w:r>
        <w:rPr>
          <w:rFonts w:eastAsia="source serif 4" w:cs="source serif 4" w:ascii="source serif 4" w:hAnsi="source serif 4"/>
          <w:color w:val="000000"/>
          <w:sz w:val="21"/>
          <w:vertAlign w:val="superscript"/>
        </w:rPr>
        <w:t xml:space="preserve">1][</w:t>
      </w:r>
      <w:r>
        <w:rPr>
          <w:rFonts w:eastAsia="source serif 4" w:cs="source serif 4" w:ascii="source serif 4" w:hAnsi="source serif 4"/>
          <w:color w:val="000000"/>
          <w:sz w:val="21"/>
        </w:rPr>
        <w:t xml:space="preserve">21]</w:t>
      </w:r>
    </w:p>
    <w:p>
      <w:pPr>
        <w:numPr>
          <w:ilvl w:val="0"/>
          <w:numId w:val="11"/>
        </w:numPr>
        <w:spacing w:line="360" w:before="105" w:after="105" w:lineRule="auto"/>
      </w:pPr>
      <w:r>
        <w:rPr>
          <w:rFonts w:eastAsia="source serif 4" w:cs="source serif 4" w:ascii="source serif 4" w:hAnsi="source serif 4"/>
          <w:b/>
          <w:color w:val="000000"/>
          <w:sz w:val="21"/>
        </w:rPr>
        <w:t xml:space="preserve">Questionner les fournisseurs</w:t>
      </w:r>
      <w:r>
        <w:rPr>
          <w:rFonts w:eastAsia="source serif 4" w:cs="source serif 4" w:ascii="source serif 4" w:hAnsi="source serif 4"/>
          <w:color w:val="000000"/>
          <w:sz w:val="21"/>
        </w:rPr>
        <w:t xml:space="preserve"> : demander où sont hébergées les données, quel cadre juridique s’applique, si les données peuvent être utilisées pour entraîner des IA dans d’autres pays.[</w:t>
      </w:r>
      <w:r>
        <w:rPr>
          <w:rFonts w:eastAsia="source serif 4" w:cs="source serif 4" w:ascii="source serif 4" w:hAnsi="source serif 4"/>
          <w:color w:val="000000"/>
          <w:sz w:val="21"/>
          <w:vertAlign w:val="superscript"/>
        </w:rPr>
        <w:t xml:space="preserve">22][</w:t>
      </w:r>
      <w:r>
        <w:rPr>
          <w:rFonts w:eastAsia="source serif 4" w:cs="source serif 4" w:ascii="source serif 4" w:hAnsi="source serif 4"/>
          <w:color w:val="000000"/>
          <w:sz w:val="21"/>
        </w:rPr>
        <w:t xml:space="preserve">21]</w:t>
      </w:r>
    </w:p>
    <w:p>
      <w:pPr>
        <w:numPr>
          <w:ilvl w:val="0"/>
          <w:numId w:val="11"/>
        </w:numPr>
        <w:spacing w:line="360" w:before="105" w:after="105" w:lineRule="auto"/>
      </w:pPr>
      <w:r>
        <w:rPr>
          <w:rFonts w:eastAsia="source serif 4" w:cs="source serif 4" w:ascii="source serif 4" w:hAnsi="source serif 4"/>
          <w:b/>
          <w:color w:val="000000"/>
          <w:sz w:val="21"/>
        </w:rPr>
        <w:t xml:space="preserve">Favoriser des solutions ouvertes ou européennes</w:t>
      </w:r>
      <w:r>
        <w:rPr>
          <w:rFonts w:eastAsia="source serif 4" w:cs="source serif 4" w:ascii="source serif 4" w:hAnsi="source serif 4"/>
          <w:color w:val="000000"/>
          <w:sz w:val="21"/>
        </w:rPr>
        <w:t xml:space="preserve"> lorsque c’est réaliste (outils open source déployés sur un cloud local, solutions proposées par des acteurs européens certifiés).[</w:t>
      </w:r>
      <w:r>
        <w:rPr>
          <w:rFonts w:eastAsia="source serif 4" w:cs="source serif 4" w:ascii="source serif 4" w:hAnsi="source serif 4"/>
          <w:color w:val="000000"/>
          <w:sz w:val="21"/>
          <w:vertAlign w:val="superscript"/>
        </w:rPr>
        <w:t xml:space="preserve">15][</w:t>
      </w:r>
      <w:r>
        <w:rPr>
          <w:rFonts w:eastAsia="source serif 4" w:cs="source serif 4" w:ascii="source serif 4" w:hAnsi="source serif 4"/>
          <w:color w:val="000000"/>
          <w:sz w:val="21"/>
        </w:rPr>
        <w:t xml:space="preserve">21]</w:t>
      </w:r>
    </w:p>
    <w:p>
      <w:pPr>
        <w:numPr>
          <w:ilvl w:val="0"/>
          <w:numId w:val="11"/>
        </w:numPr>
        <w:spacing w:line="360" w:before="105" w:after="105" w:lineRule="auto"/>
      </w:pPr>
      <w:r>
        <w:rPr>
          <w:rFonts w:eastAsia="source serif 4" w:cs="source serif 4" w:ascii="source serif 4" w:hAnsi="source serif 4"/>
          <w:b/>
          <w:color w:val="000000"/>
          <w:sz w:val="21"/>
        </w:rPr>
        <w:t xml:space="preserve">Amener les jeunes à réfléchir</w:t>
      </w:r>
      <w:r>
        <w:rPr>
          <w:rFonts w:eastAsia="source serif 4" w:cs="source serif 4" w:ascii="source serif 4" w:hAnsi="source serif 4"/>
          <w:color w:val="000000"/>
          <w:sz w:val="21"/>
        </w:rPr>
        <w:t xml:space="preserve"> eux‑mêmes à ces enjeux dans leurs propres choix d’outils (stockage, messagerie, réseaux) dans une perspective d’éducation populaire.[</w:t>
      </w:r>
      <w:r>
        <w:rPr>
          <w:rFonts w:eastAsia="source serif 4" w:cs="source serif 4" w:ascii="source serif 4" w:hAnsi="source serif 4"/>
          <w:color w:val="000000"/>
          <w:sz w:val="21"/>
          <w:vertAlign w:val="superscript"/>
        </w:rPr>
        <w:t xml:space="preserve">25][</w:t>
      </w:r>
      <w:r>
        <w:rPr>
          <w:rFonts w:eastAsia="source serif 4" w:cs="source serif 4" w:ascii="source serif 4" w:hAnsi="source serif 4"/>
          <w:color w:val="000000"/>
          <w:sz w:val="21"/>
        </w:rPr>
        <w:t xml:space="preserve">16]</w:t>
      </w:r>
    </w:p>
    <w:p>
      <w:pPr>
        <w:spacing w:line="360" w:before="315" w:after="105" w:lineRule="auto"/>
        <w:ind w:left="-30"/>
        <w:jc w:val="left"/>
      </w:pPr>
      <w:bookmarkStart w:id="15" w:name="bm_5_désinformation_concentration_29c4c3"/>
      <w:r>
        <w:rPr>
          <w:rFonts w:eastAsia="source serif 4" w:cs="source serif 4" w:ascii="source serif 4" w:hAnsi="source serif 4"/>
          <w:b/>
          <w:color w:val="000000"/>
          <w:sz w:val="24"/>
        </w:rPr>
        <w:t xml:space="preserve">5. Désinformation, concentration économique et débat citoyen à l’ère de l’IA</w:t>
      </w:r>
      <w:bookmarkEnd w:id="15"/>
    </w:p>
    <w:p>
      <w:pPr>
        <w:spacing w:line="360" w:before="315" w:after="105" w:lineRule="auto"/>
        <w:ind w:left="-30"/>
        <w:jc w:val="left"/>
      </w:pPr>
      <w:bookmarkStart w:id="16" w:name="bm_5_1_désinformation_amplifiée_p_3359bf"/>
      <w:r>
        <w:rPr>
          <w:rFonts w:eastAsia="source serif 4" w:cs="source serif 4" w:ascii="source serif 4" w:hAnsi="source serif 4"/>
          <w:b/>
          <w:color w:val="000000"/>
          <w:sz w:val="24"/>
        </w:rPr>
        <w:t xml:space="preserve">5.1. Désinformation amplifiée par l’IA générative</w:t>
      </w:r>
      <w:bookmarkEnd w:id="16"/>
    </w:p>
    <w:p>
      <w:pPr>
        <w:spacing w:line="360" w:after="210" w:lineRule="auto"/>
      </w:pPr>
      <w:r>
        <w:rPr>
          <w:rFonts w:eastAsia="source serif 4" w:cs="source serif 4" w:ascii="source serif 4" w:hAnsi="source serif 4"/>
          <w:color w:val="000000"/>
        </w:rPr>
        <w:t xml:space="preserve">L’IA générative permet de produire, à faible coût et à grande échelle, des textes, images, vidéos et deepfakes, qui peuvent être utilisés pour :</w:t>
      </w:r>
    </w:p>
    <w:p>
      <w:pPr>
        <w:numPr>
          <w:ilvl w:val="0"/>
          <w:numId w:val="12"/>
        </w:numPr>
        <w:spacing w:line="360" w:before="105" w:after="105" w:lineRule="auto"/>
      </w:pPr>
      <w:r>
        <w:rPr>
          <w:rFonts w:eastAsia="source serif 4" w:cs="source serif 4" w:ascii="source serif 4" w:hAnsi="source serif 4"/>
          <w:color w:val="000000"/>
          <w:sz w:val="21"/>
        </w:rPr>
        <w:t xml:space="preserve">fabriquer de fausses déclarations ou vidéos d’acteurs publics,</w:t>
      </w:r>
    </w:p>
    <w:p>
      <w:pPr>
        <w:numPr>
          <w:ilvl w:val="0"/>
          <w:numId w:val="12"/>
        </w:numPr>
        <w:spacing w:line="360" w:before="105" w:after="105" w:lineRule="auto"/>
      </w:pPr>
      <w:r>
        <w:rPr>
          <w:rFonts w:eastAsia="source serif 4" w:cs="source serif 4" w:ascii="source serif 4" w:hAnsi="source serif 4"/>
          <w:color w:val="000000"/>
          <w:sz w:val="21"/>
        </w:rPr>
        <w:t xml:space="preserve">cacher l’origine d’une propagande,</w:t>
      </w:r>
    </w:p>
    <w:p>
      <w:pPr>
        <w:numPr>
          <w:ilvl w:val="0"/>
          <w:numId w:val="12"/>
        </w:numPr>
        <w:spacing w:line="360" w:before="105" w:after="105" w:lineRule="auto"/>
      </w:pPr>
      <w:r>
        <w:rPr>
          <w:rFonts w:eastAsia="source serif 4" w:cs="source serif 4" w:ascii="source serif 4" w:hAnsi="source serif 4"/>
          <w:color w:val="000000"/>
          <w:sz w:val="21"/>
        </w:rPr>
        <w:t xml:space="preserve">saturer l’espace informationnel de contenus polarisants ou contradictoires.[</w:t>
      </w:r>
      <w:r>
        <w:rPr>
          <w:rFonts w:eastAsia="source serif 4" w:cs="source serif 4" w:ascii="source serif 4" w:hAnsi="source serif 4"/>
          <w:color w:val="000000"/>
          <w:sz w:val="21"/>
          <w:vertAlign w:val="superscript"/>
        </w:rPr>
        <w:t xml:space="preserve">26][</w:t>
      </w:r>
      <w:r>
        <w:rPr>
          <w:rFonts w:eastAsia="source serif 4" w:cs="source serif 4" w:ascii="source serif 4" w:hAnsi="source serif 4"/>
          <w:color w:val="000000"/>
          <w:sz w:val="21"/>
        </w:rPr>
        <w:t xml:space="preserve">27][^28]</w:t>
      </w:r>
    </w:p>
    <w:p>
      <w:pPr>
        <w:spacing w:line="360" w:after="210" w:lineRule="auto"/>
      </w:pPr>
      <w:r>
        <w:rPr>
          <w:rFonts w:eastAsia="source serif 4" w:cs="source serif 4" w:ascii="source serif 4" w:hAnsi="source serif 4"/>
          <w:color w:val="000000"/>
        </w:rPr>
        <w:t xml:space="preserve">Un livre blanc sur « la démocratie à l’ère de l’IA générative » souligne que ces outils bouleversent les écosystèmes d’information, peuvent interférer avec les élections, et s’inscrivent dans des campagnes de désinformation ciblées, souvent hyper‑segmentées selon des critères sensibles (origine, genre, orientation, croyances). Des travaux récents montrent toutefois que l’impact direct de la désinformation IA sur certains scrutins européens récents a été plus limité que ce que l’on craignait, même si la confusion et la perte de confiance augmentent.[</w:t>
      </w:r>
      <w:r>
        <w:rPr>
          <w:rFonts w:eastAsia="source serif 4" w:cs="source serif 4" w:ascii="source serif 4" w:hAnsi="source serif 4"/>
          <w:color w:val="000000"/>
          <w:vertAlign w:val="superscript"/>
        </w:rPr>
        <w:t xml:space="preserve">29][</w:t>
      </w:r>
      <w:r>
        <w:rPr>
          <w:rFonts w:eastAsia="source serif 4" w:cs="source serif 4" w:ascii="source serif 4" w:hAnsi="source serif 4"/>
          <w:color w:val="000000"/>
        </w:rPr>
        <w:t xml:space="preserve">27][</w:t>
      </w:r>
      <w:r>
        <w:rPr>
          <w:rFonts w:eastAsia="source serif 4" w:cs="source serif 4" w:ascii="source serif 4" w:hAnsi="source serif 4"/>
          <w:color w:val="000000"/>
          <w:vertAlign w:val="superscript"/>
        </w:rPr>
        <w:t xml:space="preserve">30][</w:t>
      </w:r>
      <w:r>
        <w:rPr>
          <w:rFonts w:eastAsia="source serif 4" w:cs="source serif 4" w:ascii="source serif 4" w:hAnsi="source serif 4"/>
          <w:color w:val="000000"/>
        </w:rPr>
        <w:t xml:space="preserve">26]</w:t>
      </w:r>
    </w:p>
    <w:p>
      <w:pPr>
        <w:spacing w:line="360" w:before="315" w:after="105" w:lineRule="auto"/>
        <w:ind w:left="-30"/>
        <w:jc w:val="left"/>
      </w:pPr>
      <w:bookmarkStart w:id="17" w:name="bm_5_2_effets_sur_la_confiance_le_2edbf1"/>
      <w:r>
        <w:rPr>
          <w:rFonts w:eastAsia="source serif 4" w:cs="source serif 4" w:ascii="source serif 4" w:hAnsi="source serif 4"/>
          <w:b/>
          <w:color w:val="000000"/>
          <w:sz w:val="24"/>
        </w:rPr>
        <w:t xml:space="preserve">5.2. Effets sur la confiance, le débat et la participation</w:t>
      </w:r>
      <w:bookmarkEnd w:id="17"/>
    </w:p>
    <w:p>
      <w:pPr>
        <w:spacing w:line="360" w:after="210" w:lineRule="auto"/>
      </w:pPr>
      <w:r>
        <w:rPr>
          <w:rFonts w:eastAsia="source serif 4" w:cs="source serif 4" w:ascii="source serif 4" w:hAnsi="source serif 4"/>
          <w:color w:val="000000"/>
        </w:rPr>
        <w:t xml:space="preserve">Même lorsque des deepfakes ou contenus IA ne changent pas massivement les résultats d’une élection, ils peuvent :</w:t>
      </w:r>
    </w:p>
    <w:p>
      <w:pPr>
        <w:numPr>
          <w:ilvl w:val="0"/>
          <w:numId w:val="13"/>
        </w:numPr>
        <w:spacing w:line="360" w:before="105" w:after="105" w:lineRule="auto"/>
      </w:pPr>
      <w:r>
        <w:rPr>
          <w:rFonts w:eastAsia="source serif 4" w:cs="source serif 4" w:ascii="source serif 4" w:hAnsi="source serif 4"/>
          <w:b/>
          <w:color w:val="000000"/>
          <w:sz w:val="21"/>
        </w:rPr>
        <w:t xml:space="preserve">éroder la confiance</w:t>
      </w:r>
      <w:r>
        <w:rPr>
          <w:rFonts w:eastAsia="source serif 4" w:cs="source serif 4" w:ascii="source serif 4" w:hAnsi="source serif 4"/>
          <w:color w:val="000000"/>
          <w:sz w:val="21"/>
        </w:rPr>
        <w:t xml:space="preserve"> dans les images, les vidéos et les témoignages ;</w:t>
      </w:r>
    </w:p>
    <w:p>
      <w:pPr>
        <w:numPr>
          <w:ilvl w:val="0"/>
          <w:numId w:val="13"/>
        </w:numPr>
        <w:spacing w:line="360" w:before="105" w:after="105" w:lineRule="auto"/>
      </w:pPr>
      <w:r>
        <w:rPr>
          <w:rFonts w:eastAsia="source serif 4" w:cs="source serif 4" w:ascii="source serif 4" w:hAnsi="source serif 4"/>
          <w:color w:val="000000"/>
          <w:sz w:val="21"/>
        </w:rPr>
        <w:t xml:space="preserve">nourrir un climat de scepticisme généralisé (« on ne peut plus croire à rien ») qui fragilise la discussion démocratique ;</w:t>
      </w:r>
    </w:p>
    <w:p>
      <w:pPr>
        <w:numPr>
          <w:ilvl w:val="0"/>
          <w:numId w:val="13"/>
        </w:numPr>
        <w:spacing w:line="360" w:before="105" w:after="105" w:lineRule="auto"/>
      </w:pPr>
      <w:r>
        <w:rPr>
          <w:rFonts w:eastAsia="source serif 4" w:cs="source serif 4" w:ascii="source serif 4" w:hAnsi="source serif 4"/>
          <w:color w:val="000000"/>
          <w:sz w:val="21"/>
        </w:rPr>
        <w:t xml:space="preserve">être utilisés pour discréditer des victimes ou des militants, ou justifier la censure ou la surveillance.[</w:t>
      </w:r>
      <w:r>
        <w:rPr>
          <w:rFonts w:eastAsia="source serif 4" w:cs="source serif 4" w:ascii="source serif 4" w:hAnsi="source serif 4"/>
          <w:color w:val="000000"/>
          <w:sz w:val="21"/>
          <w:vertAlign w:val="superscript"/>
        </w:rPr>
        <w:t xml:space="preserve">27][</w:t>
      </w:r>
      <w:r>
        <w:rPr>
          <w:rFonts w:eastAsia="source serif 4" w:cs="source serif 4" w:ascii="source serif 4" w:hAnsi="source serif 4"/>
          <w:color w:val="000000"/>
          <w:sz w:val="21"/>
        </w:rPr>
        <w:t xml:space="preserve">28][^26]</w:t>
      </w:r>
    </w:p>
    <w:p>
      <w:pPr>
        <w:spacing w:line="360" w:after="210" w:lineRule="auto"/>
      </w:pPr>
      <w:r>
        <w:rPr>
          <w:rFonts w:eastAsia="source serif 4" w:cs="source serif 4" w:ascii="source serif 4" w:hAnsi="source serif 4"/>
          <w:color w:val="000000"/>
        </w:rPr>
        <w:t xml:space="preserve">Pour les associations d’éducation populaire, de jeunesse ou de défense des droits, ces évolutions invitent à renforcer les ateliers d’EMI, de fact‑checking et de débat critique, en intégrant des exemples d’usages de l’IA dans la désinformation et des stratégies de réponse citoyenne.[</w:t>
      </w:r>
      <w:r>
        <w:rPr>
          <w:rFonts w:eastAsia="source serif 4" w:cs="source serif 4" w:ascii="source serif 4" w:hAnsi="source serif 4"/>
          <w:color w:val="000000"/>
          <w:vertAlign w:val="superscript"/>
        </w:rPr>
        <w:t xml:space="preserve">31][</w:t>
      </w:r>
      <w:r>
        <w:rPr>
          <w:rFonts w:eastAsia="source serif 4" w:cs="source serif 4" w:ascii="source serif 4" w:hAnsi="source serif 4"/>
          <w:color w:val="000000"/>
        </w:rPr>
        <w:t xml:space="preserve">16]</w:t>
      </w:r>
    </w:p>
    <w:p>
      <w:pPr>
        <w:spacing w:line="360" w:before="315" w:after="105" w:lineRule="auto"/>
        <w:ind w:left="-30"/>
        <w:jc w:val="left"/>
      </w:pPr>
      <w:bookmarkStart w:id="18" w:name="bm_5_3_concentration_économique_e_a1a2cf"/>
      <w:r>
        <w:rPr>
          <w:rFonts w:eastAsia="source serif 4" w:cs="source serif 4" w:ascii="source serif 4" w:hAnsi="source serif 4"/>
          <w:b/>
          <w:color w:val="000000"/>
          <w:sz w:val="24"/>
        </w:rPr>
        <w:t xml:space="preserve">5.3. Concentration économique et pouvoir sur l’information</w:t>
      </w:r>
      <w:bookmarkEnd w:id="18"/>
    </w:p>
    <w:p>
      <w:pPr>
        <w:spacing w:line="360" w:after="210" w:lineRule="auto"/>
      </w:pPr>
      <w:r>
        <w:rPr>
          <w:rFonts w:eastAsia="source serif 4" w:cs="source serif 4" w:ascii="source serif 4" w:hAnsi="source serif 4"/>
          <w:color w:val="000000"/>
        </w:rPr>
        <w:t xml:space="preserve">Les débats sur l’IA s’inscrivent dans un contexte plus large de </w:t>
      </w:r>
      <w:r>
        <w:rPr>
          <w:rFonts w:eastAsia="source serif 4" w:cs="source serif 4" w:ascii="source serif 4" w:hAnsi="source serif 4"/>
          <w:b/>
          <w:color w:val="000000"/>
        </w:rPr>
        <w:t xml:space="preserve">concentration économique</w:t>
      </w:r>
      <w:r>
        <w:rPr>
          <w:rFonts w:eastAsia="source serif 4" w:cs="source serif 4" w:ascii="source serif 4" w:hAnsi="source serif 4"/>
          <w:color w:val="000000"/>
        </w:rPr>
        <w:t xml:space="preserve"> du numérique : les grands acteurs (GAFAM et autres big tech) contrôlent l’essentiel des plateformes où circulent les informations et les outils d’IA grand public. Leur modèle économique repose sur la collecte et la monétisation massive de données, la captation de l’attention et l’intégration verticale (de l’infrastructure aux applications).[</w:t>
      </w:r>
      <w:r>
        <w:rPr>
          <w:rFonts w:eastAsia="source serif 4" w:cs="source serif 4" w:ascii="source serif 4" w:hAnsi="source serif 4"/>
          <w:color w:val="000000"/>
          <w:vertAlign w:val="superscript"/>
        </w:rPr>
        <w:t xml:space="preserve">19][</w:t>
      </w:r>
      <w:r>
        <w:rPr>
          <w:rFonts w:eastAsia="source serif 4" w:cs="source serif 4" w:ascii="source serif 4" w:hAnsi="source serif 4"/>
          <w:color w:val="000000"/>
        </w:rPr>
        <w:t xml:space="preserve">32][</w:t>
      </w:r>
      <w:r>
        <w:rPr>
          <w:rFonts w:eastAsia="source serif 4" w:cs="source serif 4" w:ascii="source serif 4" w:hAnsi="source serif 4"/>
          <w:color w:val="000000"/>
          <w:vertAlign w:val="superscript"/>
        </w:rPr>
        <w:t xml:space="preserve">20][</w:t>
      </w:r>
      <w:r>
        <w:rPr>
          <w:rFonts w:eastAsia="source serif 4" w:cs="source serif 4" w:ascii="source serif 4" w:hAnsi="source serif 4"/>
          <w:color w:val="000000"/>
        </w:rPr>
        <w:t xml:space="preserve">18]</w:t>
      </w:r>
    </w:p>
    <w:p>
      <w:pPr>
        <w:spacing w:line="360" w:after="210" w:lineRule="auto"/>
      </w:pPr>
      <w:r>
        <w:rPr>
          <w:rFonts w:eastAsia="source serif 4" w:cs="source serif 4" w:ascii="source serif 4" w:hAnsi="source serif 4"/>
          <w:color w:val="000000"/>
        </w:rPr>
        <w:t xml:space="preserve">Des analyses soulignent que cette concentration tend vers un oligopole où quelques entreprises fixent les règles du jeu technologique, ce qui peut étouffer l’innovation indépendante et réduire la diversité des sources d’information. Des appels à un renforcement des régulations (DMA, DSA, AI Act, CADA) et, dans certains cas, à des démantèlements, témoignent de la prise de conscience de ces enjeux.[</w:t>
      </w:r>
      <w:r>
        <w:rPr>
          <w:rFonts w:eastAsia="source serif 4" w:cs="source serif 4" w:ascii="source serif 4" w:hAnsi="source serif 4"/>
          <w:color w:val="000000"/>
          <w:vertAlign w:val="superscript"/>
        </w:rPr>
        <w:t xml:space="preserve">33][</w:t>
      </w:r>
      <w:r>
        <w:rPr>
          <w:rFonts w:eastAsia="source serif 4" w:cs="source serif 4" w:ascii="source serif 4" w:hAnsi="source serif 4"/>
          <w:color w:val="000000"/>
        </w:rPr>
        <w:t xml:space="preserve">20][</w:t>
      </w:r>
      <w:r>
        <w:rPr>
          <w:rFonts w:eastAsia="source serif 4" w:cs="source serif 4" w:ascii="source serif 4" w:hAnsi="source serif 4"/>
          <w:color w:val="000000"/>
          <w:vertAlign w:val="superscript"/>
        </w:rPr>
        <w:t xml:space="preserve">18][</w:t>
      </w:r>
      <w:r>
        <w:rPr>
          <w:rFonts w:eastAsia="source serif 4" w:cs="source serif 4" w:ascii="source serif 4" w:hAnsi="source serif 4"/>
          <w:color w:val="000000"/>
        </w:rPr>
        <w:t xml:space="preserve">19]</w:t>
      </w:r>
    </w:p>
    <w:p>
      <w:pPr>
        <w:spacing w:line="360" w:before="315" w:after="105" w:lineRule="auto"/>
        <w:ind w:left="-30"/>
        <w:jc w:val="left"/>
      </w:pPr>
      <w:bookmarkStart w:id="19" w:name="bm_5_4_rôle_des_associations_et_s_46e418"/>
      <w:r>
        <w:rPr>
          <w:rFonts w:eastAsia="source serif 4" w:cs="source serif 4" w:ascii="source serif 4" w:hAnsi="source serif 4"/>
          <w:b/>
          <w:color w:val="000000"/>
          <w:sz w:val="24"/>
        </w:rPr>
        <w:t xml:space="preserve">5.4. Rôle des associations et structures jeunesse dans le débat citoyen</w:t>
      </w:r>
      <w:bookmarkEnd w:id="19"/>
    </w:p>
    <w:p>
      <w:pPr>
        <w:spacing w:line="360" w:after="210" w:lineRule="auto"/>
      </w:pPr>
      <w:r>
        <w:rPr>
          <w:rFonts w:eastAsia="source serif 4" w:cs="source serif 4" w:ascii="source serif 4" w:hAnsi="source serif 4"/>
          <w:color w:val="000000"/>
        </w:rPr>
        <w:t xml:space="preserve">Les structures associatives et de jeunesse ont un rôle clé pour :</w:t>
      </w:r>
    </w:p>
    <w:p>
      <w:pPr>
        <w:numPr>
          <w:ilvl w:val="0"/>
          <w:numId w:val="14"/>
        </w:numPr>
        <w:spacing w:line="360" w:before="105" w:after="105" w:lineRule="auto"/>
      </w:pPr>
      <w:r>
        <w:rPr>
          <w:rFonts w:eastAsia="source serif 4" w:cs="source serif 4" w:ascii="source serif 4" w:hAnsi="source serif 4"/>
          <w:b/>
          <w:color w:val="000000"/>
          <w:sz w:val="21"/>
        </w:rPr>
        <w:t xml:space="preserve">Sensibiliser les jeunes et les publics</w:t>
      </w:r>
      <w:r>
        <w:rPr>
          <w:rFonts w:eastAsia="source serif 4" w:cs="source serif 4" w:ascii="source serif 4" w:hAnsi="source serif 4"/>
          <w:color w:val="000000"/>
          <w:sz w:val="21"/>
        </w:rPr>
        <w:t xml:space="preserve"> aux mécanismes de désinformation et aux deepfakes, en développant des ateliers de vérification, d’analyse de discours et de production de contre‑narratifs.[</w:t>
      </w:r>
      <w:r>
        <w:rPr>
          <w:rFonts w:eastAsia="source serif 4" w:cs="source serif 4" w:ascii="source serif 4" w:hAnsi="source serif 4"/>
          <w:color w:val="000000"/>
          <w:sz w:val="21"/>
          <w:vertAlign w:val="superscript"/>
        </w:rPr>
        <w:t xml:space="preserve">27][</w:t>
      </w:r>
      <w:r>
        <w:rPr>
          <w:rFonts w:eastAsia="source serif 4" w:cs="source serif 4" w:ascii="source serif 4" w:hAnsi="source serif 4"/>
          <w:color w:val="000000"/>
          <w:sz w:val="21"/>
        </w:rPr>
        <w:t xml:space="preserve">31]</w:t>
      </w:r>
    </w:p>
    <w:p>
      <w:pPr>
        <w:numPr>
          <w:ilvl w:val="0"/>
          <w:numId w:val="14"/>
        </w:numPr>
        <w:spacing w:line="360" w:before="105" w:after="105" w:lineRule="auto"/>
      </w:pPr>
      <w:r>
        <w:rPr>
          <w:rFonts w:eastAsia="source serif 4" w:cs="source serif 4" w:ascii="source serif 4" w:hAnsi="source serif 4"/>
          <w:b/>
          <w:color w:val="000000"/>
          <w:sz w:val="21"/>
        </w:rPr>
        <w:t xml:space="preserve">Organiser des espaces de débat</w:t>
      </w:r>
      <w:r>
        <w:rPr>
          <w:rFonts w:eastAsia="source serif 4" w:cs="source serif 4" w:ascii="source serif 4" w:hAnsi="source serif 4"/>
          <w:color w:val="000000"/>
          <w:sz w:val="21"/>
        </w:rPr>
        <w:t xml:space="preserve"> sur les choix de société liés à l’IA (automatisation, surveillance, usage dans l’action sociale, effets sur l’emploi), en lien avec d’autres acteurs (collectifs citoyens, syndicats, chercheurs).[^16]</w:t>
      </w:r>
    </w:p>
    <w:p>
      <w:pPr>
        <w:numPr>
          <w:ilvl w:val="0"/>
          <w:numId w:val="14"/>
        </w:numPr>
        <w:spacing w:line="360" w:before="105" w:after="105" w:lineRule="auto"/>
      </w:pPr>
      <w:r>
        <w:rPr>
          <w:rFonts w:eastAsia="source serif 4" w:cs="source serif 4" w:ascii="source serif 4" w:hAnsi="source serif 4"/>
          <w:b/>
          <w:color w:val="000000"/>
          <w:sz w:val="21"/>
        </w:rPr>
        <w:t xml:space="preserve">Expérimenter des pratiques numériques alternatives</w:t>
      </w:r>
      <w:r>
        <w:rPr>
          <w:rFonts w:eastAsia="source serif 4" w:cs="source serif 4" w:ascii="source serif 4" w:hAnsi="source serif 4"/>
          <w:color w:val="000000"/>
          <w:sz w:val="21"/>
        </w:rPr>
        <w:t xml:space="preserve"> (plateformes libres, médias associatifs, projets de données citoyennes) qui réduisent la dépendance aux grands acteurs commerciaux.[</w:t>
      </w:r>
      <w:r>
        <w:rPr>
          <w:rFonts w:eastAsia="source serif 4" w:cs="source serif 4" w:ascii="source serif 4" w:hAnsi="source serif 4"/>
          <w:color w:val="000000"/>
          <w:sz w:val="21"/>
          <w:vertAlign w:val="superscript"/>
        </w:rPr>
        <w:t xml:space="preserve">15][</w:t>
      </w:r>
      <w:r>
        <w:rPr>
          <w:rFonts w:eastAsia="source serif 4" w:cs="source serif 4" w:ascii="source serif 4" w:hAnsi="source serif 4"/>
          <w:color w:val="000000"/>
          <w:sz w:val="21"/>
        </w:rPr>
        <w:t xml:space="preserve">16]</w:t>
      </w:r>
    </w:p>
    <w:p>
      <w:pPr>
        <w:spacing w:line="360" w:before="315" w:after="105" w:lineRule="auto"/>
        <w:ind w:left="-30"/>
        <w:jc w:val="left"/>
      </w:pPr>
      <w:bookmarkStart w:id="20" w:name="bm_6_pistes_pédagogiques_pour_la_739274"/>
      <w:r>
        <w:rPr>
          <w:rFonts w:eastAsia="source serif 4" w:cs="source serif 4" w:ascii="source serif 4" w:hAnsi="source serif 4"/>
          <w:b/>
          <w:color w:val="000000"/>
          <w:sz w:val="24"/>
        </w:rPr>
        <w:t xml:space="preserve">6. Pistes pédagogiques pour la formation des acteurs associatifs</w:t>
      </w:r>
      <w:bookmarkEnd w:id="20"/>
    </w:p>
    <w:p>
      <w:pPr>
        <w:spacing w:line="360" w:after="210" w:lineRule="auto"/>
      </w:pPr>
      <w:r>
        <w:rPr>
          <w:rFonts w:eastAsia="source serif 4" w:cs="source serif 4" w:ascii="source serif 4" w:hAnsi="source serif 4"/>
          <w:color w:val="000000"/>
        </w:rPr>
        <w:t xml:space="preserve">Pour une formation dont les objectifs pédagogiques sont ceux énoncés (RGPD/AI Act, impact environnemental, souveraineté/dépendance, désinformation/concentration), le rapport peut être traduit en modules :</w:t>
      </w:r>
    </w:p>
    <w:p>
      <w:pPr>
        <w:numPr>
          <w:ilvl w:val="0"/>
          <w:numId w:val="15"/>
        </w:numPr>
        <w:spacing w:line="360" w:after="210" w:lineRule="auto"/>
      </w:pPr>
      <w:r>
        <w:rPr>
          <w:rFonts w:eastAsia="source serif 4" w:cs="source serif 4" w:ascii="source serif 4" w:hAnsi="source serif 4"/>
          <w:b/>
          <w:color w:val="000000"/>
          <w:sz w:val="21"/>
        </w:rPr>
        <w:t xml:space="preserve">Module 1 – Cadre juridique : RGPD et AI Act</w:t>
      </w:r>
    </w:p>
    <w:p>
      <w:pPr>
        <w:numPr>
          <w:ilvl w:val="1"/>
          <w:numId w:val="15"/>
        </w:numPr>
        <w:spacing w:line="360" w:before="105" w:after="105" w:lineRule="auto"/>
      </w:pPr>
      <w:r>
        <w:rPr>
          <w:rFonts w:eastAsia="source serif 4" w:cs="source serif 4" w:ascii="source serif 4" w:hAnsi="source serif 4"/>
          <w:color w:val="000000"/>
          <w:sz w:val="21"/>
        </w:rPr>
        <w:t xml:space="preserve">Étude de cas : une association qui met en place un chatbot d’accueil ou un outil d’IA pour trier des demandes ; identification des rôles (fournisseur/déployeur), des bases légales RGPD et des obligations de transparence.[</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8][^1]</w:t>
      </w:r>
    </w:p>
    <w:p>
      <w:pPr>
        <w:numPr>
          <w:ilvl w:val="0"/>
          <w:numId w:val="15"/>
        </w:numPr>
        <w:spacing w:line="360" w:after="210" w:lineRule="auto"/>
      </w:pPr>
      <w:r>
        <w:rPr>
          <w:rFonts w:eastAsia="source serif 4" w:cs="source serif 4" w:ascii="source serif 4" w:hAnsi="source serif 4"/>
          <w:b/>
          <w:color w:val="000000"/>
          <w:sz w:val="21"/>
        </w:rPr>
        <w:t xml:space="preserve">Module 2 – Environnement : IA générative et sobriété</w:t>
      </w:r>
    </w:p>
    <w:p>
      <w:pPr>
        <w:numPr>
          <w:ilvl w:val="1"/>
          <w:numId w:val="15"/>
        </w:numPr>
        <w:spacing w:line="360" w:before="105" w:after="105" w:lineRule="auto"/>
      </w:pPr>
      <w:r>
        <w:rPr>
          <w:rFonts w:eastAsia="source serif 4" w:cs="source serif 4" w:ascii="source serif 4" w:hAnsi="source serif 4"/>
          <w:color w:val="000000"/>
          <w:sz w:val="21"/>
        </w:rPr>
        <w:t xml:space="preserve">Atelier : calcul approximatif de l’empreinte de certains usages d’IA dans la structure ; discussion sur les arbitrages entre utilité sociale et impact environnemental ; élaboration d’une mini‑charte de sobriété IA.[</w:t>
      </w:r>
      <w:r>
        <w:rPr>
          <w:rFonts w:eastAsia="source serif 4" w:cs="source serif 4" w:ascii="source serif 4" w:hAnsi="source serif 4"/>
          <w:color w:val="000000"/>
          <w:sz w:val="21"/>
          <w:vertAlign w:val="superscript"/>
        </w:rPr>
        <w:t xml:space="preserve">12][</w:t>
      </w:r>
      <w:r>
        <w:rPr>
          <w:rFonts w:eastAsia="source serif 4" w:cs="source serif 4" w:ascii="source serif 4" w:hAnsi="source serif 4"/>
          <w:color w:val="000000"/>
          <w:sz w:val="21"/>
        </w:rPr>
        <w:t xml:space="preserve">10][^11]</w:t>
      </w:r>
    </w:p>
    <w:p>
      <w:pPr>
        <w:numPr>
          <w:ilvl w:val="0"/>
          <w:numId w:val="15"/>
        </w:numPr>
        <w:spacing w:line="360" w:after="210" w:lineRule="auto"/>
      </w:pPr>
      <w:r>
        <w:rPr>
          <w:rFonts w:eastAsia="source serif 4" w:cs="source serif 4" w:ascii="source serif 4" w:hAnsi="source serif 4"/>
          <w:b/>
          <w:color w:val="000000"/>
          <w:sz w:val="21"/>
        </w:rPr>
        <w:t xml:space="preserve">Module 3 – Souveraineté, cloud et données</w:t>
      </w:r>
    </w:p>
    <w:p>
      <w:pPr>
        <w:numPr>
          <w:ilvl w:val="1"/>
          <w:numId w:val="15"/>
        </w:numPr>
        <w:spacing w:line="360" w:before="105" w:after="105" w:lineRule="auto"/>
      </w:pPr>
      <w:r>
        <w:rPr>
          <w:rFonts w:eastAsia="source serif 4" w:cs="source serif 4" w:ascii="source serif 4" w:hAnsi="source serif 4"/>
          <w:color w:val="000000"/>
          <w:sz w:val="21"/>
        </w:rPr>
        <w:t xml:space="preserve">Cartographie des outils utilisés par la structure ; analyse des risques (données sensibles, hébergement, dépendance) ; exploration de scénarios de migration partielle vers des solutions plus souveraines.[</w:t>
      </w:r>
      <w:r>
        <w:rPr>
          <w:rFonts w:eastAsia="source serif 4" w:cs="source serif 4" w:ascii="source serif 4" w:hAnsi="source serif 4"/>
          <w:color w:val="000000"/>
          <w:sz w:val="21"/>
          <w:vertAlign w:val="superscript"/>
        </w:rPr>
        <w:t xml:space="preserve">22][</w:t>
      </w:r>
      <w:r>
        <w:rPr>
          <w:rFonts w:eastAsia="source serif 4" w:cs="source serif 4" w:ascii="source serif 4" w:hAnsi="source serif 4"/>
          <w:color w:val="000000"/>
          <w:sz w:val="21"/>
        </w:rPr>
        <w:t xml:space="preserve">21][^15]</w:t>
      </w:r>
    </w:p>
    <w:p>
      <w:pPr>
        <w:numPr>
          <w:ilvl w:val="0"/>
          <w:numId w:val="15"/>
        </w:numPr>
        <w:spacing w:line="360" w:after="210" w:lineRule="auto"/>
      </w:pPr>
      <w:r>
        <w:rPr>
          <w:rFonts w:eastAsia="source serif 4" w:cs="source serif 4" w:ascii="source serif 4" w:hAnsi="source serif 4"/>
          <w:b/>
          <w:color w:val="000000"/>
          <w:sz w:val="21"/>
        </w:rPr>
        <w:t xml:space="preserve">Module 4 – Désinformation, concentration et débat citoyen</w:t>
      </w:r>
    </w:p>
    <w:p>
      <w:pPr>
        <w:numPr>
          <w:ilvl w:val="1"/>
          <w:numId w:val="15"/>
        </w:numPr>
        <w:spacing w:line="360" w:before="105" w:after="105" w:lineRule="auto"/>
      </w:pPr>
      <w:r>
        <w:rPr>
          <w:rFonts w:eastAsia="source serif 4" w:cs="source serif 4" w:ascii="source serif 4" w:hAnsi="source serif 4"/>
          <w:color w:val="000000"/>
          <w:sz w:val="21"/>
        </w:rPr>
        <w:t xml:space="preserve">Ateliers de décryptage de contenus IA (deepfakes, textes, images) et d’analyse des rapports de force économiques ; réflexion sur les actions possibles des associations pour renforcer l’esprit critique et la participation.[</w:t>
      </w:r>
      <w:r>
        <w:rPr>
          <w:rFonts w:eastAsia="source serif 4" w:cs="source serif 4" w:ascii="source serif 4" w:hAnsi="source serif 4"/>
          <w:color w:val="000000"/>
          <w:sz w:val="21"/>
          <w:vertAlign w:val="superscript"/>
        </w:rPr>
        <w:t xml:space="preserve">26][</w:t>
      </w:r>
      <w:r>
        <w:rPr>
          <w:rFonts w:eastAsia="source serif 4" w:cs="source serif 4" w:ascii="source serif 4" w:hAnsi="source serif 4"/>
          <w:color w:val="000000"/>
          <w:sz w:val="21"/>
        </w:rPr>
        <w:t xml:space="preserve">31][^27]</w:t>
      </w:r>
    </w:p>
    <w:p>
      <w:pPr>
        <w:spacing w:line="360" w:after="210" w:lineRule="auto"/>
      </w:pPr>
      <w:r>
        <w:rPr>
          <w:rFonts w:eastAsia="source serif 4" w:cs="source serif 4" w:ascii="source serif 4" w:hAnsi="source serif 4"/>
          <w:color w:val="000000"/>
        </w:rPr>
        <w:t xml:space="preserve">L’objectif global est de permettre aux équipes associatives de </w:t>
      </w:r>
      <w:r>
        <w:rPr>
          <w:rFonts w:eastAsia="source serif 4" w:cs="source serif 4" w:ascii="source serif 4" w:hAnsi="source serif 4"/>
          <w:b/>
          <w:color w:val="000000"/>
        </w:rPr>
        <w:t xml:space="preserve">nommer les enjeux</w:t>
      </w:r>
      <w:r>
        <w:rPr>
          <w:rFonts w:eastAsia="source serif 4" w:cs="source serif 4" w:ascii="source serif 4" w:hAnsi="source serif 4"/>
          <w:color w:val="000000"/>
        </w:rPr>
        <w:t xml:space="preserve">, de </w:t>
      </w:r>
      <w:r>
        <w:rPr>
          <w:rFonts w:eastAsia="source serif 4" w:cs="source serif 4" w:ascii="source serif 4" w:hAnsi="source serif 4"/>
          <w:b/>
          <w:color w:val="000000"/>
        </w:rPr>
        <w:t xml:space="preserve">situer leurs pratiques</w:t>
      </w:r>
      <w:r>
        <w:rPr>
          <w:rFonts w:eastAsia="source serif 4" w:cs="source serif 4" w:ascii="source serif 4" w:hAnsi="source serif 4"/>
          <w:color w:val="000000"/>
        </w:rPr>
        <w:t xml:space="preserve"> dans les cadres juridique, environnemental et politique, et de </w:t>
      </w:r>
      <w:r>
        <w:rPr>
          <w:rFonts w:eastAsia="source serif 4" w:cs="source serif 4" w:ascii="source serif 4" w:hAnsi="source serif 4"/>
          <w:b/>
          <w:color w:val="000000"/>
        </w:rPr>
        <w:t xml:space="preserve">concevoir des réponses concrètes</w:t>
      </w:r>
      <w:r>
        <w:rPr>
          <w:rFonts w:eastAsia="source serif 4" w:cs="source serif 4" w:ascii="source serif 4" w:hAnsi="source serif 4"/>
          <w:color w:val="000000"/>
        </w:rPr>
        <w:t xml:space="preserve"> adaptées à leurs publics et à leurs moyens.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1" w:name="references"/>
      <w:r>
        <w:rPr>
          <w:rFonts w:eastAsia="source serif 4" w:cs="source serif 4" w:ascii="source serif 4" w:hAnsi="source serif 4"/>
          <w:b/>
          <w:color w:val="000000"/>
          <w:sz w:val="24"/>
        </w:rPr>
        <w:t xml:space="preserve">References</w:t>
      </w:r>
      <w:bookmarkEnd w:id="21"/>
    </w:p>
    <w:p>
      <w:pPr>
        <w:numPr>
          <w:ilvl w:val="0"/>
          <w:numId w:val="16"/>
        </w:numPr>
        <w:spacing w:line="360" w:after="210" w:lineRule="auto"/>
      </w:pPr>
      <w:hyperlink r:id="rId5">
        <w:r>
          <w:rPr>
            <w:rFonts w:eastAsia="source sans 3" w:cs="source sans 3" w:ascii="source sans 3" w:hAnsi="source sans 3"/>
            <w:color w:val="#000"/>
            <w:sz w:val="21"/>
            <w:u w:val="single"/>
          </w:rPr>
          <w:t xml:space="preserve">[PDF] Guide de sensibilisation au RGPD pour les asso - CNIL</w:t>
        </w:r>
      </w:hyperlink>
    </w:p>
    <w:p>
      <w:pPr>
        <w:numPr>
          <w:ilvl w:val="0"/>
          <w:numId w:val="16"/>
        </w:numPr>
        <w:spacing w:line="360" w:after="210" w:lineRule="auto"/>
      </w:pPr>
      <w:hyperlink r:id="rId6">
        <w:r>
          <w:rPr>
            <w:rFonts w:eastAsia="source sans 3" w:cs="source sans 3" w:ascii="source sans 3" w:hAnsi="source sans 3"/>
            <w:color w:val="#000"/>
            <w:sz w:val="21"/>
            <w:u w:val="single"/>
          </w:rPr>
          <w:t xml:space="preserve">Entrée en vigueur du règlement sur l'IA - Commission européenne</w:t>
        </w:r>
      </w:hyperlink>
      <w:r>
        <w:rPr>
          <w:rFonts w:eastAsia="source serif 4" w:cs="source serif 4" w:ascii="source serif 4" w:hAnsi="source serif 4"/>
          <w:color w:val="000000"/>
          <w:sz w:val="21"/>
        </w:rPr>
        <w:t xml:space="preserve"> - Le règlement européen sur l’IA est entré en vigueur le 1er août 2024. Il vise à favoriser un dévelop...</w:t>
      </w:r>
    </w:p>
    <w:p>
      <w:pPr>
        <w:numPr>
          <w:ilvl w:val="0"/>
          <w:numId w:val="16"/>
        </w:numPr>
        <w:spacing w:line="360" w:after="210" w:lineRule="auto"/>
      </w:pPr>
      <w:hyperlink r:id="rId7">
        <w:r>
          <w:rPr>
            <w:rFonts w:eastAsia="source sans 3" w:cs="source sans 3" w:ascii="source sans 3" w:hAnsi="source sans 3"/>
            <w:color w:val="#000"/>
            <w:sz w:val="21"/>
            <w:u w:val="single"/>
          </w:rPr>
          <w:t xml:space="preserve">IA : la CNIL finalise ses recommandations sur le développement des systèmes d’IA et annonce ses futurs travaux</w:t>
        </w:r>
      </w:hyperlink>
      <w:r>
        <w:rPr>
          <w:rFonts w:eastAsia="source serif 4" w:cs="source serif 4" w:ascii="source serif 4" w:hAnsi="source serif 4"/>
          <w:color w:val="000000"/>
          <w:sz w:val="21"/>
        </w:rPr>
        <w:t xml:space="preserve"> - Les nouvelles recommandations de la CNIL Les modèles d’IA entraînés sur des données personnelles peu...</w:t>
      </w:r>
    </w:p>
    <w:p>
      <w:pPr>
        <w:numPr>
          <w:ilvl w:val="0"/>
          <w:numId w:val="16"/>
        </w:numPr>
        <w:spacing w:line="360" w:after="210" w:lineRule="auto"/>
      </w:pPr>
      <w:hyperlink r:id="rId8">
        <w:r>
          <w:rPr>
            <w:rFonts w:eastAsia="source sans 3" w:cs="source sans 3" w:ascii="source sans 3" w:hAnsi="source sans 3"/>
            <w:color w:val="#000"/>
            <w:sz w:val="21"/>
            <w:u w:val="single"/>
          </w:rPr>
          <w:t xml:space="preserve">Le Règlement européen sur l'intelligence artificielle</w:t>
        </w:r>
      </w:hyperlink>
      <w:r>
        <w:rPr>
          <w:rFonts w:eastAsia="source serif 4" w:cs="source serif 4" w:ascii="source serif 4" w:hAnsi="source serif 4"/>
          <w:color w:val="000000"/>
          <w:sz w:val="21"/>
        </w:rPr>
        <w:t xml:space="preserve"> - Le 1ᵉʳ août 2024, le règlement européen sur l'intelligence artificielle (IA) est entré en vigueur. C...</w:t>
      </w:r>
    </w:p>
    <w:p>
      <w:pPr>
        <w:numPr>
          <w:ilvl w:val="0"/>
          <w:numId w:val="16"/>
        </w:numPr>
        <w:spacing w:line="360" w:after="210" w:lineRule="auto"/>
      </w:pPr>
      <w:hyperlink r:id="rId9">
        <w:r>
          <w:rPr>
            <w:rFonts w:eastAsia="source sans 3" w:cs="source sans 3" w:ascii="source sans 3" w:hAnsi="source sans 3"/>
            <w:color w:val="#000"/>
            <w:sz w:val="21"/>
            <w:u w:val="single"/>
          </w:rPr>
          <w:t xml:space="preserve">Développement des systèmes d'IA : les recommandations ...</w:t>
        </w:r>
      </w:hyperlink>
    </w:p>
    <w:p>
      <w:pPr>
        <w:numPr>
          <w:ilvl w:val="0"/>
          <w:numId w:val="16"/>
        </w:numPr>
        <w:spacing w:line="360" w:after="210" w:lineRule="auto"/>
      </w:pPr>
      <w:hyperlink r:id="rId10">
        <w:r>
          <w:rPr>
            <w:rFonts w:eastAsia="source sans 3" w:cs="source sans 3" w:ascii="source sans 3" w:hAnsi="source sans 3"/>
            <w:color w:val="#000"/>
            <w:sz w:val="21"/>
            <w:u w:val="single"/>
          </w:rPr>
          <w:t xml:space="preserve">Entrée en vigueur du règlement européen sur l'IA</w:t>
        </w:r>
      </w:hyperlink>
      <w:r>
        <w:rPr>
          <w:rFonts w:eastAsia="source serif 4" w:cs="source serif 4" w:ascii="source serif 4" w:hAnsi="source serif 4"/>
          <w:color w:val="000000"/>
          <w:sz w:val="21"/>
        </w:rPr>
        <w:t xml:space="preserve"> - Le règlement européen sur l’IA (ou AI Act) vient d’être publié au Journal officiel de l’Union europé...</w:t>
      </w:r>
    </w:p>
    <w:p>
      <w:pPr>
        <w:numPr>
          <w:ilvl w:val="0"/>
          <w:numId w:val="16"/>
        </w:numPr>
        <w:spacing w:line="360" w:after="210" w:lineRule="auto"/>
      </w:pPr>
      <w:hyperlink r:id="rId11">
        <w:r>
          <w:rPr>
            <w:rFonts w:eastAsia="source sans 3" w:cs="source sans 3" w:ascii="source sans 3" w:hAnsi="source sans 3"/>
            <w:color w:val="#000"/>
            <w:sz w:val="21"/>
            <w:u w:val="single"/>
          </w:rPr>
          <w:t xml:space="preserve">Numérique -AI Act : quels changements pour les entreprises</w:t>
        </w:r>
      </w:hyperlink>
      <w:r>
        <w:rPr>
          <w:rFonts w:eastAsia="source serif 4" w:cs="source serif 4" w:ascii="source serif 4" w:hAnsi="source serif 4"/>
          <w:color w:val="000000"/>
          <w:sz w:val="21"/>
        </w:rPr>
        <w:t xml:space="preserve"> - L'AI Act (règlement UE 2024/1689), en vigueur depuis le 1er août 2024, constitue le premier règlemen...</w:t>
      </w:r>
    </w:p>
    <w:p>
      <w:pPr>
        <w:numPr>
          <w:ilvl w:val="0"/>
          <w:numId w:val="16"/>
        </w:numPr>
        <w:spacing w:line="360" w:after="210" w:lineRule="auto"/>
      </w:pPr>
      <w:hyperlink r:id="rId12">
        <w:r>
          <w:rPr>
            <w:rFonts w:eastAsia="source sans 3" w:cs="source sans 3" w:ascii="source sans 3" w:hAnsi="source sans 3"/>
            <w:color w:val="#000"/>
            <w:sz w:val="21"/>
            <w:u w:val="single"/>
          </w:rPr>
          <w:t xml:space="preserve">Article 50 : Obligations de transparence pour les ...</w:t>
        </w:r>
      </w:hyperlink>
    </w:p>
    <w:p>
      <w:pPr>
        <w:numPr>
          <w:ilvl w:val="0"/>
          <w:numId w:val="16"/>
        </w:numPr>
        <w:spacing w:line="360" w:after="210" w:lineRule="auto"/>
      </w:pPr>
      <w:hyperlink r:id="rId13">
        <w:r>
          <w:rPr>
            <w:rFonts w:eastAsia="source sans 3" w:cs="source sans 3" w:ascii="source sans 3" w:hAnsi="source sans 3"/>
            <w:color w:val="#000"/>
            <w:sz w:val="21"/>
            <w:u w:val="single"/>
          </w:rPr>
          <w:t xml:space="preserve">Comment déployer une IA générative ? La CNIL apporte ...</w:t>
        </w:r>
      </w:hyperlink>
      <w:r>
        <w:rPr>
          <w:rFonts w:eastAsia="source serif 4" w:cs="source serif 4" w:ascii="source serif 4" w:hAnsi="source serif 4"/>
          <w:color w:val="000000"/>
          <w:sz w:val="21"/>
        </w:rPr>
        <w:t xml:space="preserve"> - Qu’est-ce que l’IA générative ? L'intelligence artificielle dite « générative » désigne les systèmes...</w:t>
      </w:r>
    </w:p>
    <w:p>
      <w:pPr>
        <w:numPr>
          <w:ilvl w:val="0"/>
          <w:numId w:val="16"/>
        </w:numPr>
        <w:spacing w:line="360" w:after="210" w:lineRule="auto"/>
      </w:pPr>
      <w:hyperlink r:id="rId14">
        <w:r>
          <w:rPr>
            <w:rFonts w:eastAsia="source sans 3" w:cs="source sans 3" w:ascii="source sans 3" w:hAnsi="source sans 3"/>
            <w:color w:val="#000"/>
            <w:sz w:val="21"/>
            <w:u w:val="single"/>
          </w:rPr>
          <w:t xml:space="preserve">[PDF] Les impacts de l'IA sur l'environnement - Hal Inrae</w:t>
        </w:r>
      </w:hyperlink>
    </w:p>
    <w:p>
      <w:pPr>
        <w:numPr>
          <w:ilvl w:val="0"/>
          <w:numId w:val="16"/>
        </w:numPr>
        <w:spacing w:line="360" w:after="210" w:lineRule="auto"/>
      </w:pPr>
      <w:hyperlink r:id="rId15">
        <w:r>
          <w:rPr>
            <w:rFonts w:eastAsia="source sans 3" w:cs="source sans 3" w:ascii="source sans 3" w:hAnsi="source sans 3"/>
            <w:color w:val="#000"/>
            <w:sz w:val="21"/>
            <w:u w:val="single"/>
          </w:rPr>
          <w:t xml:space="preserve">SEPTEMBRE 2024</w:t>
        </w:r>
      </w:hyperlink>
    </w:p>
    <w:p>
      <w:pPr>
        <w:numPr>
          <w:ilvl w:val="0"/>
          <w:numId w:val="16"/>
        </w:numPr>
        <w:spacing w:line="360" w:after="210" w:lineRule="auto"/>
      </w:pPr>
      <w:hyperlink r:id="rId16">
        <w:r>
          <w:rPr>
            <w:rFonts w:eastAsia="source sans 3" w:cs="source sans 3" w:ascii="source sans 3" w:hAnsi="source sans 3"/>
            <w:color w:val="#000"/>
            <w:sz w:val="21"/>
            <w:u w:val="single"/>
          </w:rPr>
          <w:t xml:space="preserve">[PDF] Recommandations pour une - arXiv</w:t>
        </w:r>
      </w:hyperlink>
    </w:p>
    <w:p>
      <w:pPr>
        <w:numPr>
          <w:ilvl w:val="0"/>
          <w:numId w:val="16"/>
        </w:numPr>
        <w:spacing w:line="360" w:after="210" w:lineRule="auto"/>
      </w:pPr>
      <w:hyperlink r:id="rId17">
        <w:r>
          <w:rPr>
            <w:rFonts w:eastAsia="source sans 3" w:cs="source sans 3" w:ascii="source sans 3" w:hAnsi="source sans 3"/>
            <w:color w:val="#000"/>
            <w:sz w:val="21"/>
            <w:u w:val="single"/>
          </w:rPr>
          <w:t xml:space="preserve">The Conversation : "L'IA générative est-elle soutenable ? ...</w:t>
        </w:r>
      </w:hyperlink>
      <w:r>
        <w:rPr>
          <w:rFonts w:eastAsia="source serif 4" w:cs="source serif 4" w:ascii="source serif 4" w:hAnsi="source serif 4"/>
          <w:color w:val="000000"/>
          <w:sz w:val="21"/>
        </w:rPr>
        <w:t xml:space="preserve"> - Circulez, il n’y a rien à voir ? Les estimations du bilan environnemental de l’intelligence artifici...</w:t>
      </w:r>
    </w:p>
    <w:p>
      <w:pPr>
        <w:numPr>
          <w:ilvl w:val="0"/>
          <w:numId w:val="16"/>
        </w:numPr>
        <w:spacing w:line="360" w:after="210" w:lineRule="auto"/>
      </w:pPr>
      <w:hyperlink r:id="rId18">
        <w:r>
          <w:rPr>
            <w:rFonts w:eastAsia="source sans 3" w:cs="source sans 3" w:ascii="source sans 3" w:hAnsi="source sans 3"/>
            <w:color w:val="#000"/>
            <w:sz w:val="21"/>
            <w:u w:val="single"/>
          </w:rPr>
          <w:t xml:space="preserve">[PDF] L'impact environnemental des IA génératives</w:t>
        </w:r>
      </w:hyperlink>
    </w:p>
    <w:p>
      <w:pPr>
        <w:numPr>
          <w:ilvl w:val="0"/>
          <w:numId w:val="16"/>
        </w:numPr>
        <w:spacing w:line="360" w:after="210" w:lineRule="auto"/>
      </w:pPr>
      <w:hyperlink r:id="rId19">
        <w:r>
          <w:rPr>
            <w:rFonts w:eastAsia="source sans 3" w:cs="source sans 3" w:ascii="source sans 3" w:hAnsi="source sans 3"/>
            <w:color w:val="#000"/>
            <w:sz w:val="21"/>
            <w:u w:val="single"/>
          </w:rPr>
          <w:t xml:space="preserve">Informatique en nuage | Bâtir l'avenir numérique de l'Europe</w:t>
        </w:r>
      </w:hyperlink>
      <w:r>
        <w:rPr>
          <w:rFonts w:eastAsia="source serif 4" w:cs="source serif 4" w:ascii="source serif 4" w:hAnsi="source serif 4"/>
          <w:color w:val="000000"/>
          <w:sz w:val="21"/>
        </w:rPr>
        <w:t xml:space="preserve"> - Les dernières données d'Eurostat indiquent qu'en 2023, 45,2 % des entreprises ont utilisé des servic...</w:t>
      </w:r>
    </w:p>
    <w:p>
      <w:pPr>
        <w:numPr>
          <w:ilvl w:val="0"/>
          <w:numId w:val="16"/>
        </w:numPr>
        <w:spacing w:line="360" w:after="210" w:lineRule="auto"/>
      </w:pPr>
      <w:hyperlink r:id="rId20">
        <w:r>
          <w:rPr>
            <w:rFonts w:eastAsia="source sans 3" w:cs="source sans 3" w:ascii="source sans 3" w:hAnsi="source sans 3"/>
            <w:color w:val="#000"/>
            <w:sz w:val="21"/>
            <w:u w:val="single"/>
          </w:rPr>
          <w:t xml:space="preserve">Numérique : un enjeu d'éducation populaire - FONJEP</w:t>
        </w:r>
      </w:hyperlink>
      <w:r>
        <w:rPr>
          <w:rFonts w:eastAsia="source serif 4" w:cs="source serif 4" w:ascii="source serif 4" w:hAnsi="source serif 4"/>
          <w:color w:val="000000"/>
          <w:sz w:val="21"/>
        </w:rPr>
        <w:t xml:space="preserve"> - Les intervenants ont proposé des réponses à travers plusieurs angles d'approche : L'éducation popula...</w:t>
      </w:r>
    </w:p>
    <w:p>
      <w:pPr>
        <w:numPr>
          <w:ilvl w:val="0"/>
          <w:numId w:val="16"/>
        </w:numPr>
        <w:spacing w:line="360" w:after="210" w:lineRule="auto"/>
      </w:pPr>
      <w:hyperlink r:id="rId21">
        <w:r>
          <w:rPr>
            <w:rFonts w:eastAsia="source sans 3" w:cs="source sans 3" w:ascii="source sans 3" w:hAnsi="source sans 3"/>
            <w:color w:val="#000"/>
            <w:sz w:val="21"/>
            <w:u w:val="single"/>
          </w:rPr>
          <w:t xml:space="preserve">Jeunes | Les Bases du numérique d'intérêt général - ANCT</w:t>
        </w:r>
      </w:hyperlink>
    </w:p>
    <w:p>
      <w:pPr>
        <w:numPr>
          <w:ilvl w:val="0"/>
          <w:numId w:val="16"/>
        </w:numPr>
        <w:spacing w:line="360" w:after="210" w:lineRule="auto"/>
      </w:pPr>
      <w:hyperlink r:id="rId22">
        <w:r>
          <w:rPr>
            <w:rFonts w:eastAsia="source sans 3" w:cs="source sans 3" w:ascii="source sans 3" w:hAnsi="source sans 3"/>
            <w:color w:val="#000"/>
            <w:sz w:val="21"/>
            <w:u w:val="single"/>
          </w:rPr>
          <w:t xml:space="preserve">Les dangers des GAFAM, quand les géants du numérique menacent l ...</w:t>
        </w:r>
      </w:hyperlink>
      <w:r>
        <w:rPr>
          <w:rFonts w:eastAsia="source serif 4" w:cs="source serif 4" w:ascii="source serif 4" w:hAnsi="source serif 4"/>
          <w:color w:val="000000"/>
          <w:sz w:val="21"/>
        </w:rPr>
        <w:t xml:space="preserve"> - Google, Apple, Facebook (Meta), Amazon et Microsoft, regroupés sous l’acronyme GAFAM, occupent une p...</w:t>
      </w:r>
    </w:p>
    <w:p>
      <w:pPr>
        <w:numPr>
          <w:ilvl w:val="0"/>
          <w:numId w:val="16"/>
        </w:numPr>
        <w:spacing w:line="360" w:after="210" w:lineRule="auto"/>
      </w:pPr>
      <w:hyperlink r:id="rId23">
        <w:r>
          <w:rPr>
            <w:rFonts w:eastAsia="source sans 3" w:cs="source sans 3" w:ascii="source sans 3" w:hAnsi="source sans 3"/>
            <w:color w:val="#000"/>
            <w:sz w:val="21"/>
            <w:u w:val="single"/>
          </w:rPr>
          <w:t xml:space="preserve">Vers un nouvel ordre numérique ? GAFAM sous pression ...</w:t>
        </w:r>
      </w:hyperlink>
      <w:r>
        <w:rPr>
          <w:rFonts w:eastAsia="source serif 4" w:cs="source serif 4" w:ascii="source serif 4" w:hAnsi="source serif 4"/>
          <w:color w:val="000000"/>
          <w:sz w:val="21"/>
        </w:rPr>
        <w:t xml:space="preserve"> - Depuis quelques années, mais avec une intensité renouvelée sous l’administration Biden puis Trump II...</w:t>
      </w:r>
    </w:p>
    <w:p>
      <w:pPr>
        <w:numPr>
          <w:ilvl w:val="0"/>
          <w:numId w:val="16"/>
        </w:numPr>
        <w:spacing w:line="360" w:after="210" w:lineRule="auto"/>
      </w:pPr>
      <w:hyperlink r:id="rId24">
        <w:r>
          <w:rPr>
            <w:rFonts w:eastAsia="source sans 3" w:cs="source sans 3" w:ascii="source sans 3" w:hAnsi="source sans 3"/>
            <w:color w:val="#000"/>
            <w:sz w:val="21"/>
            <w:u w:val="single"/>
          </w:rPr>
          <w:t xml:space="preserve">Nouvelles menaces : le monopole des GAFAM et l'effet réseau</w:t>
        </w:r>
      </w:hyperlink>
      <w:r>
        <w:rPr>
          <w:rFonts w:eastAsia="source serif 4" w:cs="source serif 4" w:ascii="source serif 4" w:hAnsi="source serif 4"/>
          <w:color w:val="000000"/>
          <w:sz w:val="21"/>
        </w:rPr>
        <w:t xml:space="preserve"> - La formation de monopoles ou de quasi-monopoles n’est pas le fait exclusif des sociétés technologiqu...</w:t>
      </w:r>
    </w:p>
    <w:p>
      <w:pPr>
        <w:numPr>
          <w:ilvl w:val="0"/>
          <w:numId w:val="16"/>
        </w:numPr>
        <w:spacing w:line="360" w:after="210" w:lineRule="auto"/>
      </w:pPr>
      <w:hyperlink r:id="rId25">
        <w:r>
          <w:rPr>
            <w:rFonts w:eastAsia="source sans 3" w:cs="source sans 3" w:ascii="source sans 3" w:hAnsi="source sans 3"/>
            <w:color w:val="#000"/>
            <w:sz w:val="21"/>
            <w:u w:val="single"/>
          </w:rPr>
          <w:t xml:space="preserve">Europe et IA : pourquoi la souveraineté numérique devient une ...</w:t>
        </w:r>
      </w:hyperlink>
      <w:r>
        <w:rPr>
          <w:rFonts w:eastAsia="source serif 4" w:cs="source serif 4" w:ascii="source serif 4" w:hAnsi="source serif 4"/>
          <w:color w:val="000000"/>
          <w:sz w:val="21"/>
        </w:rPr>
        <w:t xml:space="preserve"> - L’Europe doit accélèrer sur l’IA souveraine pour réduire sa dépendance au cloud américain et renforc...</w:t>
      </w:r>
    </w:p>
    <w:p>
      <w:pPr>
        <w:numPr>
          <w:ilvl w:val="0"/>
          <w:numId w:val="16"/>
        </w:numPr>
        <w:spacing w:line="360" w:after="210" w:lineRule="auto"/>
      </w:pPr>
      <w:hyperlink r:id="rId26">
        <w:r>
          <w:rPr>
            <w:rFonts w:eastAsia="source sans 3" w:cs="source sans 3" w:ascii="source sans 3" w:hAnsi="source sans 3"/>
            <w:color w:val="#000"/>
            <w:sz w:val="21"/>
            <w:u w:val="single"/>
          </w:rPr>
          <w:t xml:space="preserve">Règlement sur le développement de l'informatique en nuage ...</w:t>
        </w:r>
      </w:hyperlink>
      <w:r>
        <w:rPr>
          <w:rFonts w:eastAsia="source serif 4" w:cs="source serif 4" w:ascii="source serif 4" w:hAnsi="source serif 4"/>
          <w:color w:val="000000"/>
          <w:sz w:val="21"/>
        </w:rPr>
        <w:t xml:space="preserve"> - Le règlement sur le développement de l’informatique en nuage et de l’IA renforcera la souveraineté e...</w:t>
      </w:r>
    </w:p>
    <w:p>
      <w:pPr>
        <w:numPr>
          <w:ilvl w:val="0"/>
          <w:numId w:val="16"/>
        </w:numPr>
        <w:spacing w:line="360" w:after="210" w:lineRule="auto"/>
      </w:pPr>
      <w:hyperlink r:id="rId27">
        <w:r>
          <w:rPr>
            <w:rFonts w:eastAsia="source sans 3" w:cs="source sans 3" w:ascii="source sans 3" w:hAnsi="source sans 3"/>
            <w:color w:val="#000"/>
            <w:sz w:val="21"/>
            <w:u w:val="single"/>
          </w:rPr>
          <w:t xml:space="preserve">Cloud, IA, cybersécurité: l'Europe renforce sa stratégie de ...</w:t>
        </w:r>
      </w:hyperlink>
      <w:r>
        <w:rPr>
          <w:rFonts w:eastAsia="source serif 4" w:cs="source serif 4" w:ascii="source serif 4" w:hAnsi="source serif 4"/>
          <w:color w:val="000000"/>
          <w:sz w:val="21"/>
        </w:rPr>
        <w:t xml:space="preserve"> - La conformité ne concerne plus uniquement les équipes IT. Gouvernance, continuité d’activité et maît...</w:t>
      </w:r>
    </w:p>
    <w:p>
      <w:pPr>
        <w:numPr>
          <w:ilvl w:val="0"/>
          <w:numId w:val="16"/>
        </w:numPr>
        <w:spacing w:line="360" w:after="210" w:lineRule="auto"/>
      </w:pPr>
      <w:hyperlink r:id="rId28">
        <w:r>
          <w:rPr>
            <w:rFonts w:eastAsia="source sans 3" w:cs="source sans 3" w:ascii="source sans 3" w:hAnsi="source sans 3"/>
            <w:color w:val="#000"/>
            <w:sz w:val="21"/>
            <w:u w:val="single"/>
          </w:rPr>
          <w:t xml:space="preserve">Le règlement européen sur le cloud et l'IA reçoit un accueil mitigé</w:t>
        </w:r>
      </w:hyperlink>
      <w:r>
        <w:rPr>
          <w:rFonts w:eastAsia="source serif 4" w:cs="source serif 4" w:ascii="source serif 4" w:hAnsi="source serif 4"/>
          <w:color w:val="000000"/>
          <w:sz w:val="21"/>
        </w:rPr>
        <w:t xml:space="preserve"> - L'objectif de la Commission européenne de tripler le marché des centres de données de l’UE en cinq à...</w:t>
      </w:r>
    </w:p>
    <w:p>
      <w:pPr>
        <w:numPr>
          <w:ilvl w:val="0"/>
          <w:numId w:val="16"/>
        </w:numPr>
        <w:spacing w:line="360" w:after="210" w:lineRule="auto"/>
      </w:pPr>
      <w:hyperlink r:id="rId29">
        <w:r>
          <w:rPr>
            <w:rFonts w:eastAsia="source sans 3" w:cs="source sans 3" w:ascii="source sans 3" w:hAnsi="source sans 3"/>
            <w:color w:val="#000"/>
            <w:sz w:val="21"/>
            <w:u w:val="single"/>
          </w:rPr>
          <w:t xml:space="preserve">Internet Sans Crainte</w:t>
        </w:r>
      </w:hyperlink>
      <w:r>
        <w:rPr>
          <w:rFonts w:eastAsia="source serif 4" w:cs="source serif 4" w:ascii="source serif 4" w:hAnsi="source serif 4"/>
          <w:color w:val="000000"/>
          <w:sz w:val="21"/>
        </w:rPr>
        <w:t xml:space="preserve"> - Programme national de sensibilisation des jeunes au numérique. Des centaines de ressources gratuites...</w:t>
      </w:r>
    </w:p>
    <w:p>
      <w:pPr>
        <w:numPr>
          <w:ilvl w:val="0"/>
          <w:numId w:val="16"/>
        </w:numPr>
        <w:spacing w:line="360" w:after="210" w:lineRule="auto"/>
      </w:pPr>
      <w:hyperlink r:id="rId30">
        <w:r>
          <w:rPr>
            <w:rFonts w:eastAsia="source sans 3" w:cs="source sans 3" w:ascii="source sans 3" w:hAnsi="source sans 3"/>
            <w:color w:val="#000"/>
            <w:sz w:val="21"/>
            <w:u w:val="single"/>
          </w:rPr>
          <w:t xml:space="preserve">[PDF] LA DÉMOCRATIE À L'ÈRE DE L'IA GÉNÉRATIVE :</w:t>
        </w:r>
      </w:hyperlink>
    </w:p>
    <w:p>
      <w:pPr>
        <w:numPr>
          <w:ilvl w:val="0"/>
          <w:numId w:val="16"/>
        </w:numPr>
        <w:spacing w:line="360" w:after="210" w:lineRule="auto"/>
      </w:pPr>
      <w:hyperlink r:id="rId31">
        <w:r>
          <w:rPr>
            <w:rFonts w:eastAsia="source sans 3" w:cs="source sans 3" w:ascii="source sans 3" w:hAnsi="source sans 3"/>
            <w:color w:val="#000"/>
            <w:sz w:val="21"/>
            <w:u w:val="single"/>
          </w:rPr>
          <w:t xml:space="preserve">[PDF] Protéger les élections démocratiques par la sauvegarde de l ...</w:t>
        </w:r>
      </w:hyperlink>
      <w:r>
        <w:rPr>
          <w:rFonts w:eastAsia="source serif 4" w:cs="source serif 4" w:ascii="source serif 4" w:hAnsi="source serif 4"/>
          <w:color w:val="000000"/>
          <w:sz w:val="21"/>
        </w:rPr>
        <w:t xml:space="preserve"> - des faits, générer des « deepfakes », créer de la confusion et cibler des segments de populations av...</w:t>
      </w:r>
    </w:p>
    <w:p>
      <w:pPr>
        <w:numPr>
          <w:ilvl w:val="0"/>
          <w:numId w:val="16"/>
        </w:numPr>
        <w:spacing w:line="360" w:after="210" w:lineRule="auto"/>
      </w:pPr>
      <w:hyperlink r:id="rId32">
        <w:r>
          <w:rPr>
            <w:rFonts w:eastAsia="source sans 3" w:cs="source sans 3" w:ascii="source sans 3" w:hAnsi="source sans 3"/>
            <w:color w:val="#000"/>
            <w:sz w:val="21"/>
            <w:u w:val="single"/>
          </w:rPr>
          <w:t xml:space="preserve">Examining the Implications of Deepfakes for Election Integrity</w:t>
        </w:r>
      </w:hyperlink>
    </w:p>
    <w:p>
      <w:pPr>
        <w:numPr>
          <w:ilvl w:val="0"/>
          <w:numId w:val="16"/>
        </w:numPr>
        <w:spacing w:line="360" w:after="210" w:lineRule="auto"/>
      </w:pPr>
      <w:hyperlink r:id="rId33">
        <w:r>
          <w:rPr>
            <w:rFonts w:eastAsia="source sans 3" w:cs="source sans 3" w:ascii="source sans 3" w:hAnsi="source sans 3"/>
            <w:color w:val="#000"/>
            <w:sz w:val="21"/>
            <w:u w:val="single"/>
          </w:rPr>
          <w:t xml:space="preserve">AI-gegenereerde desinformatie minder invloedrijk dan gevreesd</w:t>
        </w:r>
      </w:hyperlink>
      <w:r>
        <w:rPr>
          <w:rFonts w:eastAsia="source serif 4" w:cs="source serif 4" w:ascii="source serif 4" w:hAnsi="source serif 4"/>
          <w:color w:val="000000"/>
          <w:sz w:val="21"/>
        </w:rPr>
        <w:t xml:space="preserve"> - Desinformatie gemaakt met generatieve AI heeft geen noemenswaardige invloed gehad op de verkiezingen...</w:t>
      </w:r>
    </w:p>
    <w:p>
      <w:pPr>
        <w:numPr>
          <w:ilvl w:val="0"/>
          <w:numId w:val="16"/>
        </w:numPr>
        <w:spacing w:line="360" w:after="210" w:lineRule="auto"/>
      </w:pPr>
      <w:hyperlink r:id="rId34">
        <w:r>
          <w:rPr>
            <w:rFonts w:eastAsia="source sans 3" w:cs="source sans 3" w:ascii="source sans 3" w:hAnsi="source sans 3"/>
            <w:color w:val="#000"/>
            <w:sz w:val="21"/>
            <w:u w:val="single"/>
          </w:rPr>
          <w:t xml:space="preserve">[PDF] Future-Proofing Elections Against Deepfake Disinformation - Civicus</w:t>
        </w:r>
      </w:hyperlink>
    </w:p>
    <w:p>
      <w:pPr>
        <w:numPr>
          <w:ilvl w:val="0"/>
          <w:numId w:val="16"/>
        </w:numPr>
        <w:spacing w:line="360" w:after="210" w:lineRule="auto"/>
      </w:pPr>
      <w:hyperlink r:id="rId35">
        <w:r>
          <w:rPr>
            <w:rFonts w:eastAsia="source sans 3" w:cs="source sans 3" w:ascii="source sans 3" w:hAnsi="source sans 3"/>
            <w:color w:val="#000"/>
            <w:sz w:val="21"/>
            <w:u w:val="single"/>
          </w:rPr>
          <w:t xml:space="preserve">L’esprit critique en questions (4/6) : l’IA au service de l’éducation aux médias | Ministère de la Culture</w:t>
        </w:r>
      </w:hyperlink>
      <w:r>
        <w:rPr>
          <w:rFonts w:eastAsia="source serif 4" w:cs="source serif 4" w:ascii="source serif 4" w:hAnsi="source serif 4"/>
          <w:color w:val="000000"/>
          <w:sz w:val="21"/>
        </w:rPr>
        <w:t xml:space="preserve"> - Esprit critique, es-tu là ? A l’heure de la surinformation massive, il est plus que jamais légitime ...</w:t>
      </w:r>
    </w:p>
    <w:p>
      <w:pPr>
        <w:numPr>
          <w:ilvl w:val="0"/>
          <w:numId w:val="16"/>
        </w:numPr>
        <w:spacing w:line="360" w:after="210" w:lineRule="auto"/>
      </w:pPr>
      <w:hyperlink r:id="rId36">
        <w:r>
          <w:rPr>
            <w:rFonts w:eastAsia="source sans 3" w:cs="source sans 3" w:ascii="source sans 3" w:hAnsi="source sans 3"/>
            <w:color w:val="#000"/>
            <w:sz w:val="21"/>
            <w:u w:val="single"/>
          </w:rPr>
          <w:t xml:space="preserve">an 1 de l'ère de l'IA générative et l'empire GAFAM contre-attaque - EPI</w:t>
        </w:r>
      </w:hyperlink>
    </w:p>
    <w:p>
      <w:pPr>
        <w:numPr>
          <w:ilvl w:val="0"/>
          <w:numId w:val="16"/>
        </w:numPr>
        <w:spacing w:line="360" w:after="210" w:lineRule="auto"/>
      </w:pPr>
      <w:hyperlink r:id="rId37">
        <w:r>
          <w:rPr>
            <w:rFonts w:eastAsia="source sans 3" w:cs="source sans 3" w:ascii="source sans 3" w:hAnsi="source sans 3"/>
            <w:color w:val="#000"/>
            <w:sz w:val="21"/>
            <w:u w:val="single"/>
          </w:rPr>
          <w:t xml:space="preserve">Comment la bataille pour le contrôle de l'IA pourrait anéantir les ...</w:t>
        </w:r>
      </w:hyperlink>
      <w:r>
        <w:rPr>
          <w:rFonts w:eastAsia="source serif 4" w:cs="source serif 4" w:ascii="source serif 4" w:hAnsi="source serif 4"/>
          <w:color w:val="000000"/>
          <w:sz w:val="21"/>
        </w:rPr>
        <w:t xml:space="preserve"> - Un virage vers plus de centralisation et plus de concentration pourrait étouffer le potentiel produc...</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9">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0">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5">
    <w:multiLevelType w:val="hybridMultilevel"/>
    <w:lvl w:ilvl="0">
      <w:start w:val="1"/>
      <w:numFmt w:val="decimal"/>
      <w:lvlText w:val="%1."/>
      <w:lvlJc w:val="left"/>
      <w:pPr>
        <w:tabs>
          <w:tab w:val="num" w:pos="900"/>
        </w:tabs>
        <w:ind w:left="540" w:hanging="360"/>
      </w:p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6">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fr-FR"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fr-FR"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cnil.fr/sites/cnil/files/atoms/files/cnil-guide_association.pdf" TargetMode="External"/><Relationship Id="rId6" Type="http://schemas.openxmlformats.org/officeDocument/2006/relationships/hyperlink" Target="https://commission.europa.eu/news-and-media/news/ai-act-enters-force-2024-08-01_fr" TargetMode="External"/><Relationship Id="rId7" Type="http://schemas.openxmlformats.org/officeDocument/2006/relationships/hyperlink" Target="https://www.cnil.fr/fr/ia-finalisation-recommandations-developpement-des-systemes-ia" TargetMode="External"/><Relationship Id="rId8" Type="http://schemas.openxmlformats.org/officeDocument/2006/relationships/hyperlink" Target="https://www.entreprises.gouv.fr/decryptages-de-nos-experts/le-reglement-europeen-sur-lintelligence-artificielle-publics-concernes" TargetMode="External"/><Relationship Id="rId9" Type="http://schemas.openxmlformats.org/officeDocument/2006/relationships/hyperlink" Target="https://www.cnil.fr/fr/developpement-des-systemes-dia-les-recommandations-specifiques" TargetMode="External"/><Relationship Id="rId10" Type="http://schemas.openxmlformats.org/officeDocument/2006/relationships/hyperlink" Target="https://www.cnil.fr/fr/entree-en-vigueur-du-reglement-europeen-sur-lia-les-premieres-questions-reponses-de-la-cnil" TargetMode="External"/><Relationship Id="rId11" Type="http://schemas.openxmlformats.org/officeDocument/2006/relationships/hyperlink" Target="https://entreprendre.service-public.gouv.fr/actualites/A18475" TargetMode="External"/><Relationship Id="rId12" Type="http://schemas.openxmlformats.org/officeDocument/2006/relationships/hyperlink" Target="https://artificialintelligenceact.eu/fr/article/50/" TargetMode="External"/><Relationship Id="rId13" Type="http://schemas.openxmlformats.org/officeDocument/2006/relationships/hyperlink" Target="https://www.cnil.fr/fr/comment-deployer-une-ia-generative-la-cnil-apporte-de-premieres-precisions" TargetMode="External"/><Relationship Id="rId14" Type="http://schemas.openxmlformats.org/officeDocument/2006/relationships/hyperlink" Target="https://hal.inrae.fr/hal-05020408v1/file/EN-2025-03_08_Les-impacts-de-lIA-sur-lenvironnement-_F.-Garcia-et-S.-SCHBATH.pdf" TargetMode="External"/><Relationship Id="rId15" Type="http://schemas.openxmlformats.org/officeDocument/2006/relationships/hyperlink" Target="https://www.lecese.fr/sites/default/files/pdf/Annexe/2024/2024_14_IA_Environnement_synthese.pdf" TargetMode="External"/><Relationship Id="rId16" Type="http://schemas.openxmlformats.org/officeDocument/2006/relationships/hyperlink" Target="https://arxiv.org/pdf/2402.01646.pdf" TargetMode="External"/><Relationship Id="rId17" Type="http://schemas.openxmlformats.org/officeDocument/2006/relationships/hyperlink" Target="https://www.univ-grenoble-alpes.fr/actualites/the-conversation/environnement/the-conversation-l-ia-generative-est-elle-soutenable-le-vrai-cout-ecologique-d-un-prompt--1675183.kjsp" TargetMode="External"/><Relationship Id="rId18" Type="http://schemas.openxmlformats.org/officeDocument/2006/relationships/hyperlink" Target="https://ww2.ac-poitiers.fr/srane/spip.php?page=artpdf&amp;id_article=1171" TargetMode="External"/><Relationship Id="rId19" Type="http://schemas.openxmlformats.org/officeDocument/2006/relationships/hyperlink" Target="https://digital-strategy.ec.europa.eu/fr/policies/cloud-computing" TargetMode="External"/><Relationship Id="rId20" Type="http://schemas.openxmlformats.org/officeDocument/2006/relationships/hyperlink" Target="https://www.fonjep.org/rencontre/projep/numerique-un-enjeu-deducation-populaire" TargetMode="External"/><Relationship Id="rId21" Type="http://schemas.openxmlformats.org/officeDocument/2006/relationships/hyperlink" Target="https://lesbases.anct.gouv.fr/collections/jeunes-2" TargetMode="External"/><Relationship Id="rId22" Type="http://schemas.openxmlformats.org/officeDocument/2006/relationships/hyperlink" Target="https://larevuedestransitions.fr/2025/12/29/les-dangers-des-gafam-quand-les-geants-du-numerique-menacent-lequilibre-democratique-et-economique/" TargetMode="External"/><Relationship Id="rId23" Type="http://schemas.openxmlformats.org/officeDocument/2006/relationships/hyperlink" Target="https://www.veillemag.com/Vers-un-nouvel-ordre-numerique-GAFAM-sous-pression-souverainete-europeenne-en-question_a6025.html" TargetMode="External"/><Relationship Id="rId24" Type="http://schemas.openxmlformats.org/officeDocument/2006/relationships/hyperlink" Target="https://www.banquetransatlantique.com/fr/actualites/le-monopole-des-gafam.html" TargetMode="External"/><Relationship Id="rId25" Type="http://schemas.openxmlformats.org/officeDocument/2006/relationships/hyperlink" Target="https://www.lebigdata.fr/europe-et-ia-pourquoi-la-souverainete-numerique-devient-une-urgence" TargetMode="External"/><Relationship Id="rId26" Type="http://schemas.openxmlformats.org/officeDocument/2006/relationships/hyperlink" Target="https://digital-strategy.ec.europa.eu/fr/policies/cloud-and-ai-development-act" TargetMode="External"/><Relationship Id="rId27" Type="http://schemas.openxmlformats.org/officeDocument/2006/relationships/hyperlink" Target="https://www.techshowparis.fr/actualites-tech-show-paris/cloud-ia-cybersecurite-leurope-renforce-sa-strategie-de-souverainete-numerique" TargetMode="External"/><Relationship Id="rId28" Type="http://schemas.openxmlformats.org/officeDocument/2006/relationships/hyperlink" Target="https://fr.euronews.com/next/2026/06/22/la-loi-europeenne-sur-le-cloud-et-lia-recoit-un-accueil-mitige" TargetMode="External"/><Relationship Id="rId29" Type="http://schemas.openxmlformats.org/officeDocument/2006/relationships/hyperlink" Target="https://www.internetsanscrainte.fr" TargetMode="External"/><Relationship Id="rId30" Type="http://schemas.openxmlformats.org/officeDocument/2006/relationships/hyperlink" Target="https://www.iri.org/wp-content/uploads/2024/08/Generative-AI-White-Paper-Final-French-Version.pdf" TargetMode="External"/><Relationship Id="rId31" Type="http://schemas.openxmlformats.org/officeDocument/2006/relationships/hyperlink" Target="https://informationdemocracy.org/wp-content/uploads/2024/02/Proteger-les-elections-democratique-par-la-souvegarde-diintegrite-de-linformation-2024.pdf" TargetMode="External"/><Relationship Id="rId32" Type="http://schemas.openxmlformats.org/officeDocument/2006/relationships/hyperlink" Target="https://arxiv.org/html/2406.14290v1" TargetMode="External"/><Relationship Id="rId33" Type="http://schemas.openxmlformats.org/officeDocument/2006/relationships/hyperlink" Target="https://ibestuur.nl/data-en-ai/toepassingen/ai-gegenereerde-desinformatie-minder-invloedrijk-dan" TargetMode="External"/><Relationship Id="rId34" Type="http://schemas.openxmlformats.org/officeDocument/2006/relationships/hyperlink" Target="https://www.civicus.org/documents/ddi/final-deepfakes-elections-report-civicus-ddi-research-2025.pdf" TargetMode="External"/><Relationship Id="rId35" Type="http://schemas.openxmlformats.org/officeDocument/2006/relationships/hyperlink" Target="https://www.culture.gouv.fr/fr/actualites/l-esprit-critique-en-questions-4-6-l-ia-au-service-de-l-education-aux-medias" TargetMode="External"/><Relationship Id="rId36" Type="http://schemas.openxmlformats.org/officeDocument/2006/relationships/hyperlink" Target="https://www.epi.asso.fr/revue/articles/a2502e.htm" TargetMode="External"/><Relationship Id="rId37" Type="http://schemas.openxmlformats.org/officeDocument/2006/relationships/hyperlink" Target="https://www.imf.org/fr/publications/fandd/issues/2025/09/how-the-battle-for-control-could-crush-ais-promise-carl-benedikt-frey"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2026-06-23T14:55:30.797Z</dcterms:created>
  <dcterms:modified xsi:type="dcterms:W3CDTF">2026-06-23T14:55:30.797Z</dcterms:modified>
</cp:coreProperties>
</file>